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03" w:rsidRDefault="004872E6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bookmarkStart w:id="0" w:name="_GoBack"/>
      <w:r>
        <w:rPr>
          <w:rFonts w:ascii="標楷體" w:eastAsia="標楷體" w:hAnsi="標楷體"/>
          <w:b/>
          <w:bCs/>
          <w:color w:val="000000"/>
          <w:sz w:val="28"/>
        </w:rPr>
        <w:t>客家委員會推行公事客語無障礙環境補助作業要點</w:t>
      </w:r>
      <w:bookmarkEnd w:id="0"/>
    </w:p>
    <w:p w:rsidR="00D52203" w:rsidRDefault="004872E6">
      <w:pPr>
        <w:widowControl/>
        <w:textAlignment w:val="top"/>
        <w:rPr>
          <w:rFonts w:ascii="標楷體" w:eastAsia="標楷體" w:hAnsi="標楷體" w:cs="新細明體"/>
          <w:color w:val="333333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民國92年6月18日客會文字第0920004536號函訂定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br/>
        <w:t>民國93年1月12日客會文字第0930000449號函修正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br/>
        <w:t>民國94年1月10日客會文字第0940000495號函修正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br/>
        <w:t>民國95年3月2 日客會文字第09500017902號令修正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br/>
        <w:t>民國98年4月6日客會文字第0980003379號令修正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br/>
        <w:t>民國99年3月29日客會文字第0990003576號令修正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br/>
        <w:t>民國99年12月15日客會文字第0990015656號令修正</w:t>
      </w:r>
    </w:p>
    <w:p w:rsidR="00D52203" w:rsidRDefault="004872E6">
      <w:pPr>
        <w:widowControl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>中華民國101年2月10日客會法字第101002369號令修正；並溯自中華民國101年1月1日生效</w:t>
      </w:r>
    </w:p>
    <w:p w:rsidR="00D52203" w:rsidRDefault="004872E6">
      <w:pPr>
        <w:ind w:left="480" w:hanging="48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一、客家委員會（以下簡稱本會）為尊重多元文化，推動公事客語無障礙環境，以促進客語重返公共領域，特依據客家基本法第六條及第九條規定，訂定本要點。</w:t>
      </w:r>
    </w:p>
    <w:p w:rsidR="00D52203" w:rsidRDefault="004872E6">
      <w:pPr>
        <w:widowControl/>
        <w:spacing w:after="225"/>
        <w:textAlignment w:val="top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二、補助對象：立案之國內公私立機關（構）及團體(以下簡稱申請單位)。</w:t>
      </w:r>
    </w:p>
    <w:p w:rsidR="00D52203" w:rsidRDefault="004872E6">
      <w:pPr>
        <w:widowControl/>
        <w:spacing w:after="225"/>
        <w:textAlignment w:val="top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三、實施原則：</w:t>
      </w:r>
      <w:r>
        <w:rPr>
          <w:rFonts w:ascii="標楷體" w:eastAsia="標楷體" w:hAnsi="標楷體" w:cs="新細明體"/>
          <w:color w:val="333333"/>
          <w:kern w:val="0"/>
        </w:rPr>
        <w:br/>
        <w:t>（一） 公共化原則：公共場所多以客語為主要使用語言。</w:t>
      </w:r>
      <w:r>
        <w:rPr>
          <w:rFonts w:ascii="標楷體" w:eastAsia="標楷體" w:hAnsi="標楷體" w:cs="新細明體"/>
          <w:color w:val="333333"/>
          <w:kern w:val="0"/>
        </w:rPr>
        <w:br/>
        <w:t>（二） 多元化原則：增進民眾對使用客語之尊嚴和自信，及對異語言文化的了解和尊重。</w:t>
      </w:r>
      <w:r>
        <w:rPr>
          <w:rFonts w:ascii="標楷體" w:eastAsia="標楷體" w:hAnsi="標楷體" w:cs="新細明體"/>
          <w:color w:val="333333"/>
          <w:kern w:val="0"/>
        </w:rPr>
        <w:br/>
        <w:t>（三） 普及化原則：客語普遍推行於機關、學校、社團、商家企業、鄰里社區。</w:t>
      </w:r>
      <w:r>
        <w:rPr>
          <w:rFonts w:ascii="標楷體" w:eastAsia="標楷體" w:hAnsi="標楷體" w:cs="新細明體"/>
          <w:color w:val="333333"/>
          <w:kern w:val="0"/>
        </w:rPr>
        <w:br/>
        <w:t>（四） 生活化原則：民眾在日常生活中自然以客語溝通。</w:t>
      </w:r>
    </w:p>
    <w:p w:rsidR="00D52203" w:rsidRDefault="004872E6">
      <w:pPr>
        <w:widowControl/>
        <w:spacing w:after="225"/>
        <w:textAlignment w:val="top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四、補助項目：</w:t>
      </w:r>
      <w:r>
        <w:rPr>
          <w:rFonts w:ascii="標楷體" w:eastAsia="標楷體" w:hAnsi="標楷體" w:cs="新細明體"/>
          <w:color w:val="333333"/>
          <w:kern w:val="0"/>
        </w:rPr>
        <w:br/>
        <w:t>（一）項目</w:t>
      </w:r>
      <w:r>
        <w:rPr>
          <w:rFonts w:ascii="標楷體" w:eastAsia="標楷體" w:hAnsi="標楷體" w:cs="新細明體"/>
          <w:color w:val="333333"/>
          <w:kern w:val="0"/>
        </w:rPr>
        <w:br/>
        <w:t>1.口譯服務。</w:t>
      </w:r>
      <w:r>
        <w:rPr>
          <w:rFonts w:ascii="標楷體" w:eastAsia="標楷體" w:hAnsi="標楷體" w:cs="新細明體"/>
          <w:color w:val="333333"/>
          <w:kern w:val="0"/>
        </w:rPr>
        <w:br/>
        <w:t>2.臨櫃服務。</w:t>
      </w:r>
      <w:r>
        <w:rPr>
          <w:rFonts w:ascii="標楷體" w:eastAsia="標楷體" w:hAnsi="標楷體" w:cs="新細明體"/>
          <w:color w:val="333333"/>
          <w:kern w:val="0"/>
        </w:rPr>
        <w:br/>
        <w:t>3.播音。</w:t>
      </w:r>
      <w:r>
        <w:rPr>
          <w:rFonts w:ascii="標楷體" w:eastAsia="標楷體" w:hAnsi="標楷體" w:cs="新細明體"/>
          <w:color w:val="333333"/>
          <w:kern w:val="0"/>
        </w:rPr>
        <w:br/>
        <w:t>4.多媒體資訊服務。</w:t>
      </w:r>
      <w:r>
        <w:rPr>
          <w:rFonts w:ascii="標楷體" w:eastAsia="標楷體" w:hAnsi="標楷體" w:cs="新細明體"/>
          <w:color w:val="333333"/>
          <w:kern w:val="0"/>
        </w:rPr>
        <w:br/>
        <w:t>5.其他公事客語無障礙環境服務提供之相關製作、研習、訓練、臨時派遣人力、器材設施租用等必要經費。</w:t>
      </w:r>
      <w:r>
        <w:rPr>
          <w:rFonts w:ascii="標楷體" w:eastAsia="標楷體" w:hAnsi="標楷體" w:cs="新細明體"/>
          <w:color w:val="333333"/>
          <w:kern w:val="0"/>
        </w:rPr>
        <w:br/>
        <w:t>（二）前述各項公事客語無障礙服務所需經費，不得作為購置硬體設備之用；臨櫃服務人員人事費用不得以固定、經常性方式支付，應以臨時派遣人力或招募志願服務人員為原則。</w:t>
      </w:r>
    </w:p>
    <w:p w:rsidR="00D52203" w:rsidRDefault="004872E6">
      <w:pPr>
        <w:widowControl/>
        <w:spacing w:after="225"/>
        <w:textAlignment w:val="top"/>
      </w:pPr>
      <w:r>
        <w:rPr>
          <w:rFonts w:ascii="標楷體" w:eastAsia="標楷體" w:hAnsi="標楷體" w:cs="新細明體"/>
          <w:color w:val="333333"/>
          <w:kern w:val="0"/>
        </w:rPr>
        <w:t>五、補助經費及原則：</w:t>
      </w:r>
      <w:r>
        <w:rPr>
          <w:rFonts w:ascii="標楷體" w:eastAsia="標楷體" w:hAnsi="標楷體" w:cs="新細明體"/>
          <w:color w:val="333333"/>
          <w:kern w:val="0"/>
        </w:rPr>
        <w:br/>
        <w:t>(一) 每案最高以補助新臺幣三十萬元為原則。</w:t>
      </w:r>
      <w:r>
        <w:rPr>
          <w:rFonts w:ascii="標楷體" w:eastAsia="標楷體" w:hAnsi="標楷體" w:cs="新細明體"/>
          <w:color w:val="333333"/>
          <w:kern w:val="0"/>
        </w:rPr>
        <w:br/>
      </w:r>
      <w:r>
        <w:rPr>
          <w:rFonts w:ascii="標楷體" w:eastAsia="標楷體" w:hAnsi="標楷體" w:cs="新細明體"/>
          <w:bCs/>
          <w:color w:val="333333"/>
          <w:kern w:val="0"/>
        </w:rPr>
        <w:t>(二)本會對直轄市及縣(市)政府補助比率依財力級次，其最高補助比率，第一級不予補助，第二級為百分之七十八，第三級為百分之八十四，第四級為百分之八十六，第五級為百分之九十。</w:t>
      </w:r>
    </w:p>
    <w:p w:rsidR="00D52203" w:rsidRDefault="004872E6">
      <w:r>
        <w:rPr>
          <w:rFonts w:ascii="標楷體" w:eastAsia="標楷體" w:hAnsi="標楷體"/>
          <w:color w:val="000000"/>
          <w:szCs w:val="18"/>
        </w:rPr>
        <w:lastRenderedPageBreak/>
        <w:t xml:space="preserve">六、申請程序： </w:t>
      </w:r>
    </w:p>
    <w:p w:rsidR="00D52203" w:rsidRDefault="004872E6">
      <w:pPr>
        <w:numPr>
          <w:ilvl w:val="0"/>
          <w:numId w:val="1"/>
        </w:numPr>
        <w:tabs>
          <w:tab w:val="left" w:pos="600"/>
        </w:tabs>
        <w:ind w:left="924" w:hanging="567"/>
      </w:pPr>
      <w:r>
        <w:rPr>
          <w:rFonts w:ascii="標楷體" w:eastAsia="標楷體" w:hAnsi="標楷體"/>
          <w:color w:val="000000"/>
        </w:rPr>
        <w:t>申請單位可於</w:t>
      </w:r>
      <w:r>
        <w:rPr>
          <w:rFonts w:ascii="標楷體" w:eastAsia="標楷體" w:hAnsi="標楷體"/>
          <w:color w:val="000000"/>
          <w:szCs w:val="18"/>
        </w:rPr>
        <w:t>前一年度十一月及當年度五月</w:t>
      </w:r>
      <w:r>
        <w:rPr>
          <w:rFonts w:ascii="標楷體" w:eastAsia="標楷體" w:hAnsi="標楷體"/>
          <w:color w:val="000000"/>
        </w:rPr>
        <w:t>檢具申請表（如附件一）、計畫書各十份連同光碟片或電子檔一份函送本會辦理。</w:t>
      </w:r>
    </w:p>
    <w:p w:rsidR="00D52203" w:rsidRDefault="004872E6">
      <w:pPr>
        <w:numPr>
          <w:ilvl w:val="0"/>
          <w:numId w:val="1"/>
        </w:numPr>
        <w:tabs>
          <w:tab w:val="left" w:pos="600"/>
        </w:tabs>
        <w:ind w:left="924" w:hanging="567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未依前項規定申請者，得不予受理；表件不全者，得請其限期補正一次，未於規定期限內補正者，不予受理。</w:t>
      </w:r>
    </w:p>
    <w:p w:rsidR="00D52203" w:rsidRDefault="004872E6">
      <w:pPr>
        <w:widowControl/>
        <w:spacing w:after="225"/>
        <w:textAlignment w:val="top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七、計畫書應具項目 (如附件二) 如下：</w:t>
      </w:r>
      <w:r>
        <w:rPr>
          <w:rFonts w:ascii="標楷體" w:eastAsia="標楷體" w:hAnsi="標楷體" w:cs="新細明體"/>
          <w:color w:val="333333"/>
          <w:kern w:val="0"/>
        </w:rPr>
        <w:br/>
        <w:t>(一)計畫名稱</w:t>
      </w:r>
      <w:r>
        <w:rPr>
          <w:rFonts w:ascii="標楷體" w:eastAsia="標楷體" w:hAnsi="標楷體" w:cs="新細明體"/>
          <w:color w:val="333333"/>
          <w:kern w:val="0"/>
        </w:rPr>
        <w:br/>
        <w:t>(二)目的</w:t>
      </w:r>
      <w:r>
        <w:rPr>
          <w:rFonts w:ascii="標楷體" w:eastAsia="標楷體" w:hAnsi="標楷體" w:cs="新細明體"/>
          <w:color w:val="333333"/>
          <w:kern w:val="0"/>
        </w:rPr>
        <w:br/>
        <w:t>(三)辦理期程</w:t>
      </w:r>
      <w:r>
        <w:rPr>
          <w:rFonts w:ascii="標楷體" w:eastAsia="標楷體" w:hAnsi="標楷體" w:cs="新細明體"/>
          <w:color w:val="333333"/>
          <w:kern w:val="0"/>
        </w:rPr>
        <w:br/>
        <w:t>(四)計畫內容</w:t>
      </w:r>
      <w:r>
        <w:rPr>
          <w:rFonts w:ascii="標楷體" w:eastAsia="標楷體" w:hAnsi="標楷體" w:cs="新細明體"/>
          <w:color w:val="333333"/>
          <w:kern w:val="0"/>
        </w:rPr>
        <w:br/>
        <w:t>(五)實施方法</w:t>
      </w:r>
      <w:r>
        <w:rPr>
          <w:rFonts w:ascii="標楷體" w:eastAsia="標楷體" w:hAnsi="標楷體" w:cs="新細明體"/>
          <w:color w:val="333333"/>
          <w:kern w:val="0"/>
        </w:rPr>
        <w:br/>
        <w:t>(六)經費來源</w:t>
      </w:r>
      <w:r>
        <w:rPr>
          <w:rFonts w:ascii="標楷體" w:eastAsia="標楷體" w:hAnsi="標楷體" w:cs="新細明體"/>
          <w:color w:val="333333"/>
          <w:kern w:val="0"/>
        </w:rPr>
        <w:br/>
        <w:t>(七)經費概算</w:t>
      </w:r>
      <w:r>
        <w:rPr>
          <w:rFonts w:ascii="標楷體" w:eastAsia="標楷體" w:hAnsi="標楷體" w:cs="新細明體"/>
          <w:color w:val="333333"/>
          <w:kern w:val="0"/>
        </w:rPr>
        <w:br/>
        <w:t>(八)預期效益</w:t>
      </w:r>
      <w:r>
        <w:rPr>
          <w:rFonts w:ascii="標楷體" w:eastAsia="標楷體" w:hAnsi="標楷體" w:cs="新細明體"/>
          <w:color w:val="333333"/>
          <w:kern w:val="0"/>
        </w:rPr>
        <w:br/>
        <w:t>(九)檢附文件</w:t>
      </w:r>
    </w:p>
    <w:p w:rsidR="00D52203" w:rsidRDefault="004872E6">
      <w:pPr>
        <w:widowControl/>
        <w:spacing w:after="225"/>
        <w:textAlignment w:val="top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 xml:space="preserve">八、審查作業： </w:t>
      </w:r>
      <w:r>
        <w:rPr>
          <w:rFonts w:ascii="標楷體" w:eastAsia="標楷體" w:hAnsi="標楷體" w:cs="新細明體"/>
          <w:color w:val="333333"/>
          <w:kern w:val="0"/>
        </w:rPr>
        <w:br/>
        <w:t>(一) 由本會業務單位依本要點進行初審，並擬具初審意見，供審查小組複審。</w:t>
      </w:r>
      <w:r>
        <w:rPr>
          <w:rFonts w:ascii="標楷體" w:eastAsia="標楷體" w:hAnsi="標楷體" w:cs="新細明體"/>
          <w:color w:val="333333"/>
          <w:kern w:val="0"/>
        </w:rPr>
        <w:br/>
        <w:t>(二) 審查小組由五人至七人組成，必要時得邀請學者、專家參與審查，並得邀請申請單位列席說明。</w:t>
      </w:r>
    </w:p>
    <w:p w:rsidR="00D52203" w:rsidRDefault="004872E6">
      <w:pPr>
        <w:widowControl/>
        <w:spacing w:after="225"/>
        <w:textAlignment w:val="top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 xml:space="preserve">九、審查考量原則： </w:t>
      </w:r>
      <w:r>
        <w:rPr>
          <w:rFonts w:ascii="標楷體" w:eastAsia="標楷體" w:hAnsi="標楷體" w:cs="新細明體"/>
          <w:color w:val="333333"/>
          <w:kern w:val="0"/>
        </w:rPr>
        <w:br/>
        <w:t>(一) 申請地區為客家文化重點發展區者，得列為優先補助之參考。</w:t>
      </w:r>
      <w:r>
        <w:rPr>
          <w:rFonts w:ascii="標楷體" w:eastAsia="標楷體" w:hAnsi="標楷體" w:cs="新細明體"/>
          <w:color w:val="333333"/>
          <w:kern w:val="0"/>
        </w:rPr>
        <w:br/>
        <w:t>(二) 計畫之可行性。</w:t>
      </w:r>
      <w:r>
        <w:rPr>
          <w:rFonts w:ascii="標楷體" w:eastAsia="標楷體" w:hAnsi="標楷體" w:cs="新細明體"/>
          <w:color w:val="333333"/>
          <w:kern w:val="0"/>
        </w:rPr>
        <w:br/>
        <w:t>(三) 對促進客語重返公共領域之實質效益。</w:t>
      </w:r>
      <w:r>
        <w:rPr>
          <w:rFonts w:ascii="標楷體" w:eastAsia="標楷體" w:hAnsi="標楷體" w:cs="新細明體"/>
          <w:color w:val="333333"/>
          <w:kern w:val="0"/>
        </w:rPr>
        <w:br/>
        <w:t>(四) 對提振客語地位之宣導效果。</w:t>
      </w:r>
      <w:r>
        <w:rPr>
          <w:rFonts w:ascii="標楷體" w:eastAsia="標楷體" w:hAnsi="標楷體" w:cs="新細明體"/>
          <w:color w:val="333333"/>
          <w:kern w:val="0"/>
        </w:rPr>
        <w:br/>
        <w:t>(五) 服務對象之廣泛性。</w:t>
      </w:r>
      <w:r>
        <w:rPr>
          <w:rFonts w:ascii="標楷體" w:eastAsia="標楷體" w:hAnsi="標楷體" w:cs="新細明體"/>
          <w:color w:val="333333"/>
          <w:kern w:val="0"/>
        </w:rPr>
        <w:br/>
        <w:t>(六) 配套之宣導計畫。</w:t>
      </w:r>
      <w:r>
        <w:rPr>
          <w:rFonts w:ascii="標楷體" w:eastAsia="標楷體" w:hAnsi="標楷體" w:cs="新細明體"/>
          <w:color w:val="333333"/>
          <w:kern w:val="0"/>
        </w:rPr>
        <w:br/>
        <w:t>(七) 經費編列之合理性。</w:t>
      </w:r>
      <w:r>
        <w:rPr>
          <w:rFonts w:ascii="標楷體" w:eastAsia="標楷體" w:hAnsi="標楷體" w:cs="新細明體"/>
          <w:color w:val="333333"/>
          <w:kern w:val="0"/>
        </w:rPr>
        <w:br/>
        <w:t>(八) 計畫執行預期效益。</w:t>
      </w:r>
    </w:p>
    <w:p w:rsidR="00D52203" w:rsidRDefault="004872E6">
      <w:pPr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十、經費撥付與核銷：</w:t>
      </w:r>
    </w:p>
    <w:p w:rsidR="00D52203" w:rsidRDefault="004872E6">
      <w:pPr>
        <w:tabs>
          <w:tab w:val="left" w:pos="180"/>
          <w:tab w:val="left" w:pos="720"/>
        </w:tabs>
        <w:ind w:firstLine="180"/>
      </w:pPr>
      <w:r>
        <w:rPr>
          <w:rFonts w:ascii="標楷體" w:eastAsia="標楷體" w:hAnsi="標楷體"/>
          <w:color w:val="000000"/>
          <w:szCs w:val="18"/>
        </w:rPr>
        <w:t>（一）經費撥付：</w:t>
      </w:r>
    </w:p>
    <w:p w:rsidR="00D52203" w:rsidRDefault="004872E6">
      <w:pPr>
        <w:ind w:left="480" w:firstLine="240"/>
      </w:pPr>
      <w:r>
        <w:rPr>
          <w:rFonts w:ascii="標楷體" w:eastAsia="標楷體" w:hAnsi="標楷體"/>
          <w:color w:val="000000"/>
          <w:szCs w:val="18"/>
        </w:rPr>
        <w:t>1.直轄市、縣（市）等地方政府：</w:t>
      </w:r>
    </w:p>
    <w:p w:rsidR="00D52203" w:rsidRDefault="004872E6">
      <w:pPr>
        <w:tabs>
          <w:tab w:val="left" w:pos="360"/>
          <w:tab w:val="left" w:pos="720"/>
          <w:tab w:val="left" w:pos="1595"/>
        </w:tabs>
        <w:ind w:left="1013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受補助單位應於計畫結束後一個月內，若計畫執行至當年度十一月，則於當年度十一月三十日前，檢具收據（附件三）、納入預算證明、計畫總經費支出明細表（附件四）、獲補助項目及金額明細表（附件五），如接受二個以上政府機關補助者，並應列明各機關補助項目及金額、成果報告書（含電子檔）（附件六）等，報本會請款。</w:t>
      </w:r>
    </w:p>
    <w:p w:rsidR="00D52203" w:rsidRDefault="004872E6">
      <w:pPr>
        <w:ind w:left="480" w:firstLine="240"/>
      </w:pPr>
      <w:r>
        <w:rPr>
          <w:rFonts w:ascii="標楷體" w:eastAsia="標楷體" w:hAnsi="標楷體"/>
          <w:color w:val="000000"/>
          <w:szCs w:val="18"/>
        </w:rPr>
        <w:lastRenderedPageBreak/>
        <w:t>2.已設置校務基金之大學校院：</w:t>
      </w:r>
    </w:p>
    <w:p w:rsidR="00D52203" w:rsidRDefault="004872E6">
      <w:pPr>
        <w:tabs>
          <w:tab w:val="left" w:pos="180"/>
          <w:tab w:val="left" w:pos="360"/>
          <w:tab w:val="left" w:pos="720"/>
          <w:tab w:val="left" w:pos="900"/>
          <w:tab w:val="left" w:pos="1235"/>
        </w:tabs>
        <w:ind w:left="1013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實施校務基金制度之學校，依「國立大學校院校務基金設置條例」之規定辦理。本計畫之全部經費應納入基金收支管理。其支出原始憑證請妥善保管，以供本會及審計機關就地查核，免送本會核轉送審。受補助單位應於計畫結束後一個月內，若計畫執行至當年度十一月，則於當年度十一月三十日前，檢具收據（附件三）、計畫總經費支出明細表（附件四）、獲補助項目及金額明細表（附件五），如接受二個以上政府機關補助者，並應列明各機關補助項目及金額、成果報告書（含電子檔）（附件六）等，報本會請款。</w:t>
      </w:r>
    </w:p>
    <w:p w:rsidR="00D52203" w:rsidRDefault="004872E6">
      <w:pPr>
        <w:ind w:left="480" w:firstLine="240"/>
      </w:pPr>
      <w:r>
        <w:rPr>
          <w:rFonts w:ascii="標楷體" w:eastAsia="標楷體" w:hAnsi="標楷體"/>
          <w:color w:val="000000"/>
          <w:szCs w:val="18"/>
        </w:rPr>
        <w:t>3.其他：</w:t>
      </w:r>
    </w:p>
    <w:p w:rsidR="00D52203" w:rsidRDefault="004872E6">
      <w:pPr>
        <w:tabs>
          <w:tab w:val="left" w:pos="180"/>
          <w:tab w:val="left" w:pos="360"/>
          <w:tab w:val="left" w:pos="720"/>
          <w:tab w:val="left" w:pos="900"/>
          <w:tab w:val="left" w:pos="1595"/>
        </w:tabs>
        <w:ind w:left="1013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受補助單位應於計畫結束後一個月內，若計畫執行至當年度十一月，則於當年度十一月三十日前，檢具統一發票或收據（附件三）、計畫總經費支出明細表（附件四）、獲補助項目及金額明細表（附件五），如接受二個以上政府機關補助者，並應列明各機關補助項目及金額、補助項目支出原始憑證、成果報告書（含電子檔）（附件六）等，報本會請款。</w:t>
      </w:r>
    </w:p>
    <w:p w:rsidR="00D52203" w:rsidRDefault="004872E6">
      <w:pPr>
        <w:tabs>
          <w:tab w:val="left" w:pos="180"/>
          <w:tab w:val="left" w:pos="720"/>
        </w:tabs>
        <w:ind w:left="900" w:hanging="720"/>
      </w:pPr>
      <w:r>
        <w:rPr>
          <w:rFonts w:ascii="標楷體" w:eastAsia="標楷體" w:hAnsi="標楷體"/>
          <w:color w:val="000000"/>
          <w:szCs w:val="18"/>
        </w:rPr>
        <w:t xml:space="preserve"> (二) 成果報告書應視補助項目，分別檢附照片、播音光碟等資料，並依下列評估基準詳列評估結果，未列評估結果者，嗣後不予補助。</w:t>
      </w:r>
    </w:p>
    <w:p w:rsidR="00D52203" w:rsidRDefault="004872E6">
      <w:pPr>
        <w:numPr>
          <w:ilvl w:val="0"/>
          <w:numId w:val="2"/>
        </w:numPr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同步口譯服務：以服務場次、人次、時數等為評估基準。</w:t>
      </w:r>
    </w:p>
    <w:p w:rsidR="00D52203" w:rsidRDefault="004872E6">
      <w:pPr>
        <w:numPr>
          <w:ilvl w:val="0"/>
          <w:numId w:val="2"/>
        </w:numPr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臨櫃服務：以服務人次、時數等為評估基準。</w:t>
      </w:r>
    </w:p>
    <w:p w:rsidR="00D52203" w:rsidRDefault="004872E6">
      <w:pPr>
        <w:numPr>
          <w:ilvl w:val="0"/>
          <w:numId w:val="2"/>
        </w:numPr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播音：以播放次數為評估基準。</w:t>
      </w:r>
    </w:p>
    <w:p w:rsidR="00D52203" w:rsidRDefault="004872E6">
      <w:pPr>
        <w:numPr>
          <w:ilvl w:val="0"/>
          <w:numId w:val="2"/>
        </w:numPr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多媒體資訊：以多媒體資訊用品使用頻率為評估基準。</w:t>
      </w:r>
    </w:p>
    <w:p w:rsidR="00D52203" w:rsidRDefault="004872E6">
      <w:pPr>
        <w:numPr>
          <w:ilvl w:val="0"/>
          <w:numId w:val="2"/>
        </w:numPr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 xml:space="preserve">其他服務請於申請案中自行規劃評估基準。 </w:t>
      </w:r>
    </w:p>
    <w:p w:rsidR="00D52203" w:rsidRDefault="004872E6">
      <w:pPr>
        <w:tabs>
          <w:tab w:val="left" w:pos="180"/>
          <w:tab w:val="left" w:pos="720"/>
        </w:tabs>
        <w:ind w:firstLine="18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（三）受補助單位，逾期請款且未事先報本會核備者，視同放棄。</w:t>
      </w:r>
    </w:p>
    <w:p w:rsidR="00D52203" w:rsidRDefault="004872E6">
      <w:pPr>
        <w:tabs>
          <w:tab w:val="left" w:pos="180"/>
          <w:tab w:val="left" w:pos="360"/>
          <w:tab w:val="left" w:pos="720"/>
        </w:tabs>
        <w:ind w:left="900" w:hanging="72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（四）補助款應專款專用覈實核銷，不得變更用途，執行結果如有賸餘，其賸餘經費應照數或按本會補助比例解繳國庫。</w:t>
      </w:r>
    </w:p>
    <w:p w:rsidR="00D52203" w:rsidRDefault="004872E6">
      <w:pPr>
        <w:tabs>
          <w:tab w:val="left" w:pos="180"/>
          <w:tab w:val="left" w:pos="360"/>
          <w:tab w:val="left" w:pos="720"/>
        </w:tabs>
        <w:ind w:left="900" w:hanging="72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（五）原始憑證應依照「支出憑證處理要點」之規定辦理，並加裝封面（附件七），依序裝訂。</w:t>
      </w:r>
    </w:p>
    <w:p w:rsidR="00D52203" w:rsidRDefault="004872E6">
      <w:pPr>
        <w:tabs>
          <w:tab w:val="left" w:pos="180"/>
          <w:tab w:val="left" w:pos="720"/>
        </w:tabs>
        <w:ind w:left="960" w:hanging="780"/>
      </w:pPr>
      <w:r>
        <w:rPr>
          <w:rFonts w:ascii="標楷體" w:eastAsia="標楷體" w:hAnsi="標楷體"/>
          <w:color w:val="000000"/>
          <w:szCs w:val="18"/>
        </w:rPr>
        <w:t>（六）涉及個人所得稅之扣繳事宜，由受補助單位依規定辦理，並於原始憑證送本會時，一併送相關扣繳證明文件。而</w:t>
      </w:r>
      <w:r>
        <w:rPr>
          <w:rFonts w:ascii="標楷體" w:eastAsia="標楷體" w:hAnsi="標楷體"/>
          <w:color w:val="000000"/>
        </w:rPr>
        <w:t>人事費、鐘點費之領據需有當事人簽名，且涉及個人所得之支出原始憑證上，請加註「已辦理所得稅扣繳」字樣，並由承辦人員簽章。</w:t>
      </w:r>
    </w:p>
    <w:p w:rsidR="00D52203" w:rsidRDefault="004872E6">
      <w:pPr>
        <w:tabs>
          <w:tab w:val="left" w:pos="360"/>
        </w:tabs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十一、其他事項：</w:t>
      </w:r>
    </w:p>
    <w:p w:rsidR="00D52203" w:rsidRDefault="004872E6">
      <w:pPr>
        <w:ind w:left="758" w:hanging="48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(一)受補助單位應於實施場所適當位置、地點標示「客家委員會推行公事客語無障礙環境」相關文字，未標示者，得取消其補助，或核減其金額。</w:t>
      </w:r>
    </w:p>
    <w:p w:rsidR="00D52203" w:rsidRDefault="004872E6">
      <w:pPr>
        <w:tabs>
          <w:tab w:val="left" w:pos="360"/>
        </w:tabs>
        <w:ind w:left="756" w:hanging="48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(二)受補助單位應依本會核定之計畫執行，若計畫變更或因故無法執行者，應於計畫開始前一週敘明理由，報本會備查；未依核定計畫辦理者，撤銷其補助。</w:t>
      </w:r>
    </w:p>
    <w:p w:rsidR="00D52203" w:rsidRDefault="004872E6">
      <w:pPr>
        <w:tabs>
          <w:tab w:val="left" w:pos="360"/>
        </w:tabs>
        <w:ind w:left="756" w:hanging="48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lastRenderedPageBreak/>
        <w:t>(三)受補助單位應依著作權法相關規定辦理，就補助案所提供之各項成果，無償授權本會以非營利目的公開發表、利用。</w:t>
      </w:r>
    </w:p>
    <w:p w:rsidR="00D52203" w:rsidRDefault="004872E6">
      <w:pPr>
        <w:tabs>
          <w:tab w:val="left" w:pos="360"/>
        </w:tabs>
        <w:ind w:left="756" w:hanging="48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(四)所有申請資料及附件，恕不退件。</w:t>
      </w:r>
    </w:p>
    <w:p w:rsidR="00D52203" w:rsidRDefault="004872E6">
      <w:pPr>
        <w:widowControl/>
        <w:spacing w:after="225"/>
        <w:textAlignment w:val="top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十二、政策性補助項目，得不受第五點(一)、第六點及第八點之限制，並經專案審查，報奉核定後實施。</w:t>
      </w:r>
    </w:p>
    <w:p w:rsidR="00D52203" w:rsidRDefault="004872E6">
      <w:pPr>
        <w:tabs>
          <w:tab w:val="left" w:pos="360"/>
        </w:tabs>
        <w:ind w:left="720" w:hanging="720"/>
        <w:rPr>
          <w:rFonts w:ascii="標楷體" w:eastAsia="標楷體" w:hAnsi="標楷體"/>
          <w:color w:val="000000"/>
          <w:szCs w:val="18"/>
        </w:rPr>
      </w:pPr>
      <w:r>
        <w:rPr>
          <w:rFonts w:ascii="標楷體" w:eastAsia="標楷體" w:hAnsi="標楷體"/>
          <w:color w:val="000000"/>
          <w:szCs w:val="18"/>
        </w:rPr>
        <w:t>十三、有關督導評核事項，本會另訂定「客家委員會推行公事客語無障礙環境督導評核要點」辦理之。</w:t>
      </w:r>
    </w:p>
    <w:p w:rsidR="00D52203" w:rsidRDefault="004872E6">
      <w:pPr>
        <w:widowControl/>
        <w:spacing w:after="225"/>
        <w:textAlignment w:val="top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十四、本要點未規定事項，悉依其他有關法令規定辦理。</w:t>
      </w:r>
    </w:p>
    <w:p w:rsidR="00D52203" w:rsidRDefault="004872E6">
      <w:pPr>
        <w:widowControl/>
        <w:spacing w:after="225"/>
        <w:textAlignment w:val="top"/>
      </w:pPr>
      <w:r>
        <w:rPr>
          <w:rFonts w:ascii="標楷體" w:eastAsia="標楷體" w:hAnsi="標楷體" w:cs="新細明體"/>
          <w:color w:val="333333"/>
          <w:kern w:val="0"/>
        </w:rPr>
        <w:t>十五、本要點奉本會主任委員核定後實施，修正時亦同。</w:t>
      </w:r>
    </w:p>
    <w:sectPr w:rsidR="00D52203">
      <w:pgSz w:w="11906" w:h="16838"/>
      <w:pgMar w:top="1440" w:right="1800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80" w:rsidRDefault="004A0B80">
      <w:r>
        <w:separator/>
      </w:r>
    </w:p>
  </w:endnote>
  <w:endnote w:type="continuationSeparator" w:id="0">
    <w:p w:rsidR="004A0B80" w:rsidRDefault="004A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80" w:rsidRDefault="004A0B80">
      <w:r>
        <w:rPr>
          <w:color w:val="000000"/>
        </w:rPr>
        <w:separator/>
      </w:r>
    </w:p>
  </w:footnote>
  <w:footnote w:type="continuationSeparator" w:id="0">
    <w:p w:rsidR="004A0B80" w:rsidRDefault="004A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D54"/>
    <w:multiLevelType w:val="multilevel"/>
    <w:tmpl w:val="CD9E9B48"/>
    <w:lvl w:ilvl="0">
      <w:start w:val="1"/>
      <w:numFmt w:val="decimal"/>
      <w:lvlText w:val="%1."/>
      <w:lvlJc w:val="left"/>
      <w:pPr>
        <w:ind w:left="1135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5" w:hanging="480"/>
      </w:pPr>
      <w:rPr>
        <w:rFonts w:cs="Times New Roman"/>
      </w:rPr>
    </w:lvl>
  </w:abstractNum>
  <w:abstractNum w:abstractNumId="1" w15:restartNumberingAfterBreak="0">
    <w:nsid w:val="66DE0D30"/>
    <w:multiLevelType w:val="multilevel"/>
    <w:tmpl w:val="1A3A812E"/>
    <w:lvl w:ilvl="0">
      <w:start w:val="1"/>
      <w:numFmt w:val="taiwaneseCountingThousand"/>
      <w:lvlText w:val="(%1)"/>
      <w:lvlJc w:val="left"/>
      <w:pPr>
        <w:ind w:left="60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03"/>
    <w:rsid w:val="002F6FE8"/>
    <w:rsid w:val="004872E6"/>
    <w:rsid w:val="004A0B80"/>
    <w:rsid w:val="006510ED"/>
    <w:rsid w:val="00D52203"/>
    <w:rsid w:val="00EC43D0"/>
    <w:rsid w:val="00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41900-953F-44BD-9263-122294A6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客家委員會推行公事客語無障礙環境補助作業要點</dc:title>
  <dc:creator>a</dc:creator>
  <cp:lastModifiedBy>註冊組長</cp:lastModifiedBy>
  <cp:revision>2</cp:revision>
  <dcterms:created xsi:type="dcterms:W3CDTF">2019-06-26T04:51:00Z</dcterms:created>
  <dcterms:modified xsi:type="dcterms:W3CDTF">2019-06-26T04:51:00Z</dcterms:modified>
</cp:coreProperties>
</file>