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BFB" w:rsidRPr="0012284B" w:rsidRDefault="00796BFB" w:rsidP="0012284B">
      <w:pPr>
        <w:jc w:val="center"/>
        <w:rPr>
          <w:rFonts w:ascii="標楷體" w:eastAsia="標楷體" w:hAnsi="標楷體"/>
          <w:szCs w:val="28"/>
        </w:rPr>
      </w:pPr>
      <w:r w:rsidRPr="0012284B">
        <w:rPr>
          <w:rFonts w:ascii="標楷體" w:eastAsia="標楷體" w:hAnsi="標楷體" w:hint="eastAsia"/>
          <w:sz w:val="36"/>
          <w:szCs w:val="28"/>
        </w:rPr>
        <w:t>桃園市</w:t>
      </w:r>
      <w:r w:rsidR="0012284B" w:rsidRPr="0012284B">
        <w:rPr>
          <w:rFonts w:ascii="標楷體" w:eastAsia="標楷體" w:hAnsi="標楷體" w:hint="eastAsia"/>
          <w:sz w:val="36"/>
          <w:szCs w:val="28"/>
        </w:rPr>
        <w:t>政府</w:t>
      </w:r>
      <w:r w:rsidRPr="0012284B">
        <w:rPr>
          <w:rFonts w:ascii="標楷體" w:eastAsia="標楷體" w:hAnsi="標楷體" w:hint="eastAsia"/>
          <w:sz w:val="36"/>
          <w:szCs w:val="28"/>
        </w:rPr>
        <w:t>自然地景及自然紀念物審議會設置要點</w:t>
      </w:r>
    </w:p>
    <w:p w:rsidR="00796BFB" w:rsidRPr="0012284B" w:rsidRDefault="0012284B" w:rsidP="0012284B">
      <w:pPr>
        <w:pStyle w:val="a3"/>
        <w:numPr>
          <w:ilvl w:val="0"/>
          <w:numId w:val="2"/>
        </w:numPr>
        <w:spacing w:line="500" w:lineRule="atLeast"/>
        <w:ind w:leftChars="0" w:left="638" w:hanging="638"/>
        <w:jc w:val="both"/>
        <w:rPr>
          <w:rFonts w:ascii="標楷體" w:eastAsia="標楷體" w:hAnsi="標楷體"/>
          <w:sz w:val="22"/>
        </w:rPr>
      </w:pPr>
      <w:r w:rsidRPr="0012284B">
        <w:rPr>
          <w:rFonts w:ascii="標楷體" w:eastAsia="標楷體" w:hAnsi="標楷體" w:hint="eastAsia"/>
          <w:sz w:val="28"/>
          <w:szCs w:val="28"/>
        </w:rPr>
        <w:t>桃園市政府（以下簡稱本府）為辦理本市文化資產保存法有關自然地景及自然紀念物之審議事項，特依文化資產審議會組織及運作辦法，設桃園市政府自然地景及自然紀念物審議會（以下簡稱本會），並訂定本要點</w:t>
      </w:r>
      <w:r w:rsidR="00796BFB" w:rsidRPr="0012284B">
        <w:rPr>
          <w:rFonts w:ascii="標楷體" w:eastAsia="標楷體" w:hAnsi="標楷體" w:hint="eastAsia"/>
          <w:sz w:val="28"/>
          <w:szCs w:val="28"/>
        </w:rPr>
        <w:t>。</w:t>
      </w:r>
    </w:p>
    <w:p w:rsidR="00796BFB" w:rsidRPr="0012284B" w:rsidRDefault="00796BFB" w:rsidP="0012284B">
      <w:pPr>
        <w:pStyle w:val="a3"/>
        <w:numPr>
          <w:ilvl w:val="0"/>
          <w:numId w:val="2"/>
        </w:numPr>
        <w:spacing w:line="500" w:lineRule="atLeast"/>
        <w:ind w:leftChars="0" w:left="624" w:hanging="624"/>
        <w:jc w:val="both"/>
        <w:rPr>
          <w:rFonts w:ascii="標楷體" w:eastAsia="標楷體" w:hAnsi="標楷體"/>
          <w:sz w:val="28"/>
          <w:szCs w:val="28"/>
        </w:rPr>
      </w:pPr>
      <w:r w:rsidRPr="0012284B">
        <w:rPr>
          <w:rFonts w:ascii="標楷體" w:eastAsia="標楷體" w:hAnsi="標楷體" w:hint="eastAsia"/>
          <w:sz w:val="28"/>
          <w:szCs w:val="28"/>
        </w:rPr>
        <w:t>本會之任務如下：</w:t>
      </w:r>
    </w:p>
    <w:p w:rsidR="00796BFB" w:rsidRPr="0012284B" w:rsidRDefault="00796BFB" w:rsidP="0012284B">
      <w:pPr>
        <w:numPr>
          <w:ilvl w:val="1"/>
          <w:numId w:val="3"/>
        </w:numPr>
        <w:spacing w:line="500" w:lineRule="atLeast"/>
        <w:ind w:left="1355" w:hanging="646"/>
        <w:jc w:val="both"/>
        <w:rPr>
          <w:rFonts w:ascii="標楷體" w:eastAsia="標楷體" w:hAnsi="標楷體"/>
          <w:sz w:val="28"/>
          <w:szCs w:val="28"/>
        </w:rPr>
      </w:pPr>
      <w:r w:rsidRPr="0012284B">
        <w:rPr>
          <w:rFonts w:ascii="標楷體" w:eastAsia="標楷體" w:hAnsi="標楷體" w:hint="eastAsia"/>
          <w:sz w:val="28"/>
          <w:szCs w:val="28"/>
        </w:rPr>
        <w:t>自然地景及自然紀念物之指定、廢止、變更範圍、變更類別之審議。</w:t>
      </w:r>
    </w:p>
    <w:p w:rsidR="00796BFB" w:rsidRPr="0012284B" w:rsidRDefault="00796BFB" w:rsidP="0012284B">
      <w:pPr>
        <w:numPr>
          <w:ilvl w:val="1"/>
          <w:numId w:val="3"/>
        </w:numPr>
        <w:spacing w:line="500" w:lineRule="atLeast"/>
        <w:ind w:left="1163" w:hanging="454"/>
        <w:jc w:val="both"/>
        <w:rPr>
          <w:rFonts w:ascii="標楷體" w:eastAsia="標楷體" w:hAnsi="標楷體"/>
          <w:sz w:val="28"/>
          <w:szCs w:val="28"/>
        </w:rPr>
      </w:pPr>
      <w:r w:rsidRPr="0012284B">
        <w:rPr>
          <w:rFonts w:ascii="標楷體" w:eastAsia="標楷體" w:hAnsi="標楷體" w:hint="eastAsia"/>
          <w:sz w:val="28"/>
          <w:szCs w:val="28"/>
        </w:rPr>
        <w:t>自然地景及自然紀念物之調查、研究、保存、維護之審議。</w:t>
      </w:r>
    </w:p>
    <w:p w:rsidR="00796BFB" w:rsidRPr="0012284B" w:rsidRDefault="00796BFB" w:rsidP="0012284B">
      <w:pPr>
        <w:numPr>
          <w:ilvl w:val="1"/>
          <w:numId w:val="3"/>
        </w:numPr>
        <w:spacing w:line="500" w:lineRule="atLeast"/>
        <w:ind w:left="1163" w:hanging="454"/>
        <w:jc w:val="both"/>
        <w:rPr>
          <w:rFonts w:ascii="標楷體" w:eastAsia="標楷體" w:hAnsi="標楷體"/>
          <w:sz w:val="28"/>
          <w:szCs w:val="28"/>
        </w:rPr>
      </w:pPr>
      <w:r w:rsidRPr="0012284B">
        <w:rPr>
          <w:rFonts w:ascii="標楷體" w:eastAsia="標楷體" w:hAnsi="標楷體" w:hint="eastAsia"/>
          <w:sz w:val="28"/>
          <w:szCs w:val="28"/>
        </w:rPr>
        <w:t>其他有關自然地景及自然紀念物事項之協調及審議。</w:t>
      </w:r>
    </w:p>
    <w:p w:rsidR="0012284B" w:rsidRPr="0012284B" w:rsidRDefault="0012284B" w:rsidP="0012284B">
      <w:pPr>
        <w:numPr>
          <w:ilvl w:val="0"/>
          <w:numId w:val="24"/>
        </w:numPr>
        <w:spacing w:line="500" w:lineRule="atLeast"/>
        <w:ind w:left="681" w:hanging="641"/>
        <w:jc w:val="both"/>
        <w:rPr>
          <w:rFonts w:ascii="標楷體" w:eastAsia="標楷體" w:hAnsi="標楷體"/>
          <w:sz w:val="28"/>
          <w:szCs w:val="28"/>
        </w:rPr>
      </w:pPr>
      <w:r w:rsidRPr="0012284B">
        <w:rPr>
          <w:rFonts w:ascii="標楷體" w:eastAsia="標楷體" w:hAnsi="標楷體" w:hint="eastAsia"/>
          <w:sz w:val="28"/>
          <w:szCs w:val="28"/>
        </w:rPr>
        <w:t>本會置委員十一人至二十三人，其中二人為召集人及副召集人，由市長或其指派之代表兼任；其餘委員由本府就下列人員聘(派)兼之：</w:t>
      </w:r>
    </w:p>
    <w:p w:rsidR="0012284B" w:rsidRPr="0012284B" w:rsidRDefault="0012284B" w:rsidP="0012284B">
      <w:pPr>
        <w:numPr>
          <w:ilvl w:val="1"/>
          <w:numId w:val="24"/>
        </w:numPr>
        <w:spacing w:line="500" w:lineRule="atLeast"/>
        <w:ind w:left="1100" w:hanging="391"/>
        <w:jc w:val="both"/>
        <w:rPr>
          <w:rFonts w:ascii="標楷體" w:eastAsia="標楷體" w:hAnsi="標楷體"/>
          <w:sz w:val="28"/>
          <w:szCs w:val="28"/>
        </w:rPr>
      </w:pPr>
      <w:r w:rsidRPr="0012284B">
        <w:rPr>
          <w:rFonts w:ascii="標楷體" w:eastAsia="標楷體" w:hAnsi="標楷體" w:hint="eastAsia"/>
          <w:sz w:val="28"/>
          <w:szCs w:val="28"/>
        </w:rPr>
        <w:t>農業局代表。</w:t>
      </w:r>
    </w:p>
    <w:p w:rsidR="0012284B" w:rsidRPr="0012284B" w:rsidRDefault="0012284B" w:rsidP="0012284B">
      <w:pPr>
        <w:numPr>
          <w:ilvl w:val="1"/>
          <w:numId w:val="24"/>
        </w:numPr>
        <w:spacing w:line="500" w:lineRule="atLeast"/>
        <w:ind w:left="1100" w:hanging="391"/>
        <w:jc w:val="both"/>
        <w:rPr>
          <w:rFonts w:ascii="標楷體" w:eastAsia="標楷體" w:hAnsi="標楷體"/>
          <w:sz w:val="28"/>
          <w:szCs w:val="28"/>
        </w:rPr>
      </w:pPr>
      <w:r w:rsidRPr="0012284B">
        <w:rPr>
          <w:rFonts w:ascii="標楷體" w:eastAsia="標楷體" w:hAnsi="標楷體" w:hint="eastAsia"/>
          <w:sz w:val="28"/>
          <w:szCs w:val="28"/>
        </w:rPr>
        <w:t>環境保護局代表。</w:t>
      </w:r>
    </w:p>
    <w:p w:rsidR="0012284B" w:rsidRPr="0012284B" w:rsidRDefault="0012284B" w:rsidP="0012284B">
      <w:pPr>
        <w:numPr>
          <w:ilvl w:val="1"/>
          <w:numId w:val="24"/>
        </w:numPr>
        <w:spacing w:line="500" w:lineRule="atLeast"/>
        <w:ind w:left="1100" w:hanging="391"/>
        <w:jc w:val="both"/>
        <w:rPr>
          <w:rFonts w:ascii="標楷體" w:eastAsia="標楷體" w:hAnsi="標楷體"/>
          <w:sz w:val="28"/>
          <w:szCs w:val="28"/>
        </w:rPr>
      </w:pPr>
      <w:r w:rsidRPr="0012284B">
        <w:rPr>
          <w:rFonts w:ascii="標楷體" w:eastAsia="標楷體" w:hAnsi="標楷體" w:hint="eastAsia"/>
          <w:sz w:val="28"/>
          <w:szCs w:val="28"/>
        </w:rPr>
        <w:t>行政院農業委員會林務局代表。</w:t>
      </w:r>
    </w:p>
    <w:p w:rsidR="0012284B" w:rsidRPr="0012284B" w:rsidRDefault="0012284B" w:rsidP="0012284B">
      <w:pPr>
        <w:numPr>
          <w:ilvl w:val="1"/>
          <w:numId w:val="24"/>
        </w:numPr>
        <w:spacing w:line="500" w:lineRule="atLeast"/>
        <w:ind w:left="1355" w:hanging="646"/>
        <w:jc w:val="both"/>
        <w:rPr>
          <w:rFonts w:ascii="標楷體" w:eastAsia="標楷體" w:hAnsi="標楷體"/>
          <w:sz w:val="28"/>
          <w:szCs w:val="28"/>
        </w:rPr>
      </w:pPr>
      <w:r w:rsidRPr="0012284B">
        <w:rPr>
          <w:rFonts w:ascii="標楷體" w:eastAsia="標楷體" w:hAnsi="標楷體" w:hint="eastAsia"/>
          <w:sz w:val="28"/>
          <w:szCs w:val="28"/>
        </w:rPr>
        <w:t>農學、景觀、生態、文化、水土保持、地質、海洋及環境保護相關領域專家學者，或具相關學術專長、實務經驗之民間團體代表。</w:t>
      </w:r>
    </w:p>
    <w:p w:rsidR="0012284B" w:rsidRPr="0012284B" w:rsidRDefault="0012284B" w:rsidP="00CE5FCF">
      <w:pPr>
        <w:spacing w:line="500" w:lineRule="atLeast"/>
        <w:ind w:leftChars="295" w:left="708"/>
        <w:jc w:val="both"/>
        <w:rPr>
          <w:rFonts w:ascii="標楷體" w:eastAsia="標楷體" w:hAnsi="標楷體"/>
          <w:sz w:val="28"/>
          <w:szCs w:val="28"/>
        </w:rPr>
      </w:pPr>
      <w:r w:rsidRPr="0012284B">
        <w:rPr>
          <w:rFonts w:ascii="標楷體" w:eastAsia="標楷體" w:hAnsi="標楷體" w:hint="eastAsia"/>
          <w:sz w:val="28"/>
          <w:szCs w:val="28"/>
        </w:rPr>
        <w:lastRenderedPageBreak/>
        <w:t>本會委員中專家學者及民間團體代表之人數之比例不得少於四分之三；且單一性別比例不得少於三分之一。</w:t>
      </w:r>
    </w:p>
    <w:p w:rsidR="00796BFB" w:rsidRPr="0012284B" w:rsidRDefault="0012284B" w:rsidP="00CE5FCF">
      <w:pPr>
        <w:spacing w:line="500" w:lineRule="atLeast"/>
        <w:ind w:left="709"/>
        <w:jc w:val="both"/>
        <w:rPr>
          <w:rFonts w:ascii="標楷體" w:eastAsia="標楷體" w:hAnsi="標楷體"/>
          <w:color w:val="FF0000"/>
          <w:sz w:val="28"/>
          <w:szCs w:val="28"/>
        </w:rPr>
      </w:pPr>
      <w:r w:rsidRPr="0012284B">
        <w:rPr>
          <w:rFonts w:ascii="標楷體" w:eastAsia="標楷體" w:hAnsi="標楷體" w:hint="eastAsia"/>
          <w:sz w:val="28"/>
          <w:szCs w:val="28"/>
        </w:rPr>
        <w:t>委員名單應公布於主管機關網站</w:t>
      </w:r>
      <w:r w:rsidR="00796BFB" w:rsidRPr="00CE5FCF">
        <w:rPr>
          <w:rFonts w:ascii="標楷體" w:eastAsia="標楷體" w:hAnsi="標楷體" w:hint="eastAsia"/>
          <w:sz w:val="28"/>
          <w:szCs w:val="28"/>
        </w:rPr>
        <w:t>。</w:t>
      </w:r>
    </w:p>
    <w:p w:rsidR="00345433" w:rsidRPr="0012284B" w:rsidRDefault="00796BFB" w:rsidP="00CE5FCF">
      <w:pPr>
        <w:pStyle w:val="a3"/>
        <w:numPr>
          <w:ilvl w:val="0"/>
          <w:numId w:val="15"/>
        </w:numPr>
        <w:spacing w:line="500" w:lineRule="atLeast"/>
        <w:ind w:leftChars="0" w:left="749" w:hanging="641"/>
        <w:jc w:val="both"/>
        <w:rPr>
          <w:rFonts w:ascii="標楷體" w:eastAsia="標楷體" w:hAnsi="標楷體"/>
          <w:sz w:val="28"/>
          <w:szCs w:val="28"/>
        </w:rPr>
      </w:pPr>
      <w:r w:rsidRPr="0012284B">
        <w:rPr>
          <w:rFonts w:ascii="標楷體" w:eastAsia="標楷體" w:hAnsi="標楷體" w:hint="eastAsia"/>
          <w:sz w:val="28"/>
          <w:szCs w:val="28"/>
        </w:rPr>
        <w:t>本會委員任期二年，期滿得續聘(派)之；專家學者及民間團體代表委員改聘時，每次不得超過該等委員人員二分之一。代表機關出任者，應隨其本職進退。委員於任期內出缺時，本府得補聘(派)之，其任期至原任期屆滿之日止。</w:t>
      </w:r>
    </w:p>
    <w:p w:rsidR="00555A19" w:rsidRPr="0012284B" w:rsidRDefault="00796BFB" w:rsidP="0012284B">
      <w:pPr>
        <w:pStyle w:val="a3"/>
        <w:numPr>
          <w:ilvl w:val="0"/>
          <w:numId w:val="15"/>
        </w:numPr>
        <w:tabs>
          <w:tab w:val="left" w:pos="567"/>
          <w:tab w:val="left" w:pos="851"/>
        </w:tabs>
        <w:spacing w:line="500" w:lineRule="atLeast"/>
        <w:ind w:leftChars="0"/>
        <w:jc w:val="both"/>
        <w:rPr>
          <w:rFonts w:ascii="標楷體" w:eastAsia="標楷體" w:hAnsi="標楷體"/>
          <w:sz w:val="22"/>
        </w:rPr>
      </w:pPr>
      <w:r w:rsidRPr="0012284B">
        <w:rPr>
          <w:rFonts w:ascii="標楷體" w:eastAsia="標楷體" w:hAnsi="標楷體" w:hint="eastAsia"/>
          <w:sz w:val="28"/>
          <w:szCs w:val="28"/>
        </w:rPr>
        <w:t>本會委員於任期內有下列情形之一者，應予解聘或不予續聘：</w:t>
      </w:r>
    </w:p>
    <w:p w:rsidR="00555A19" w:rsidRPr="0012284B" w:rsidRDefault="00796BFB" w:rsidP="0012284B">
      <w:pPr>
        <w:pStyle w:val="a3"/>
        <w:numPr>
          <w:ilvl w:val="1"/>
          <w:numId w:val="17"/>
        </w:numPr>
        <w:tabs>
          <w:tab w:val="left" w:pos="567"/>
          <w:tab w:val="left" w:pos="851"/>
        </w:tabs>
        <w:spacing w:line="500" w:lineRule="atLeast"/>
        <w:ind w:leftChars="0"/>
        <w:jc w:val="both"/>
        <w:rPr>
          <w:rFonts w:ascii="標楷體" w:eastAsia="標楷體" w:hAnsi="標楷體"/>
          <w:sz w:val="22"/>
        </w:rPr>
      </w:pPr>
      <w:r w:rsidRPr="0012284B">
        <w:rPr>
          <w:rFonts w:ascii="標楷體" w:eastAsia="標楷體" w:hAnsi="標楷體" w:hint="eastAsia"/>
          <w:sz w:val="28"/>
          <w:szCs w:val="28"/>
        </w:rPr>
        <w:t>辭職或代表該機關之職務變更。</w:t>
      </w:r>
    </w:p>
    <w:p w:rsidR="00555A19" w:rsidRPr="0012284B" w:rsidRDefault="00796BFB" w:rsidP="0012284B">
      <w:pPr>
        <w:pStyle w:val="a3"/>
        <w:numPr>
          <w:ilvl w:val="1"/>
          <w:numId w:val="17"/>
        </w:numPr>
        <w:tabs>
          <w:tab w:val="left" w:pos="567"/>
          <w:tab w:val="left" w:pos="851"/>
        </w:tabs>
        <w:spacing w:line="500" w:lineRule="atLeast"/>
        <w:ind w:leftChars="0"/>
        <w:jc w:val="both"/>
        <w:rPr>
          <w:rFonts w:ascii="標楷體" w:eastAsia="標楷體" w:hAnsi="標楷體"/>
          <w:sz w:val="22"/>
        </w:rPr>
      </w:pPr>
      <w:r w:rsidRPr="0012284B">
        <w:rPr>
          <w:rFonts w:ascii="標楷體" w:eastAsia="標楷體" w:hAnsi="標楷體" w:hint="eastAsia"/>
          <w:sz w:val="28"/>
          <w:szCs w:val="28"/>
        </w:rPr>
        <w:t>死亡或因故無法執行職務。</w:t>
      </w:r>
    </w:p>
    <w:p w:rsidR="00555A19" w:rsidRPr="0012284B" w:rsidRDefault="009F2F94" w:rsidP="00FC0B4E">
      <w:pPr>
        <w:pStyle w:val="a3"/>
        <w:numPr>
          <w:ilvl w:val="1"/>
          <w:numId w:val="17"/>
        </w:numPr>
        <w:tabs>
          <w:tab w:val="left" w:pos="567"/>
          <w:tab w:val="left" w:pos="851"/>
        </w:tabs>
        <w:spacing w:line="500" w:lineRule="atLeast"/>
        <w:ind w:leftChars="0" w:left="1492" w:hanging="641"/>
        <w:jc w:val="both"/>
        <w:rPr>
          <w:rFonts w:ascii="標楷體" w:eastAsia="標楷體" w:hAnsi="標楷體"/>
          <w:sz w:val="22"/>
        </w:rPr>
      </w:pPr>
      <w:r w:rsidRPr="0012284B">
        <w:rPr>
          <w:rFonts w:ascii="標楷體" w:eastAsia="標楷體" w:hAnsi="標楷體" w:hint="eastAsia"/>
          <w:sz w:val="28"/>
          <w:szCs w:val="28"/>
        </w:rPr>
        <w:t>違反行政程序法、公職人員利益衝突迴避法與本要點及其他法令迴避規定。</w:t>
      </w:r>
    </w:p>
    <w:p w:rsidR="00FC0B4E" w:rsidRDefault="00796BFB" w:rsidP="00FC0B4E">
      <w:pPr>
        <w:numPr>
          <w:ilvl w:val="0"/>
          <w:numId w:val="15"/>
        </w:numPr>
        <w:spacing w:line="500" w:lineRule="atLeast"/>
        <w:jc w:val="both"/>
        <w:rPr>
          <w:rFonts w:ascii="標楷體" w:eastAsia="標楷體" w:hAnsi="標楷體"/>
          <w:sz w:val="22"/>
        </w:rPr>
      </w:pPr>
      <w:r w:rsidRPr="0012284B">
        <w:rPr>
          <w:rFonts w:ascii="標楷體" w:eastAsia="標楷體" w:hAnsi="標楷體" w:hint="eastAsia"/>
          <w:sz w:val="28"/>
          <w:szCs w:val="28"/>
        </w:rPr>
        <w:t>本會應定期召開會議，必要時得召開臨時會議。</w:t>
      </w:r>
    </w:p>
    <w:p w:rsidR="00EC7AD5" w:rsidRDefault="00EC7AD5" w:rsidP="00EC7AD5">
      <w:pPr>
        <w:spacing w:line="500" w:lineRule="atLeast"/>
        <w:ind w:leftChars="295" w:left="708" w:firstLine="72"/>
        <w:jc w:val="both"/>
        <w:rPr>
          <w:rFonts w:ascii="標楷體" w:eastAsia="標楷體" w:hAnsi="標楷體"/>
          <w:sz w:val="28"/>
          <w:szCs w:val="28"/>
        </w:rPr>
      </w:pPr>
      <w:r w:rsidRPr="00EC7AD5">
        <w:rPr>
          <w:rFonts w:ascii="標楷體" w:eastAsia="標楷體" w:hAnsi="標楷體" w:hint="eastAsia"/>
          <w:sz w:val="28"/>
          <w:szCs w:val="28"/>
        </w:rPr>
        <w:t>本會開會時由召集人召集並為主席，召集人不能出席時，由副</w:t>
      </w:r>
    </w:p>
    <w:p w:rsidR="00EC7AD5" w:rsidRDefault="00EC7AD5" w:rsidP="00EC7AD5">
      <w:pPr>
        <w:spacing w:line="500" w:lineRule="atLeast"/>
        <w:ind w:leftChars="295" w:left="708" w:firstLine="72"/>
        <w:jc w:val="both"/>
        <w:rPr>
          <w:rFonts w:ascii="標楷體" w:eastAsia="標楷體" w:hAnsi="標楷體"/>
          <w:sz w:val="28"/>
          <w:szCs w:val="28"/>
        </w:rPr>
      </w:pPr>
      <w:r w:rsidRPr="00EC7AD5">
        <w:rPr>
          <w:rFonts w:ascii="標楷體" w:eastAsia="標楷體" w:hAnsi="標楷體" w:hint="eastAsia"/>
          <w:sz w:val="28"/>
          <w:szCs w:val="28"/>
        </w:rPr>
        <w:t>召集人代理之；副召集人亦不能出席時，由出席委員互推一人</w:t>
      </w:r>
    </w:p>
    <w:p w:rsidR="00657605" w:rsidRPr="00FC0B4E" w:rsidRDefault="00EC7AD5" w:rsidP="00EC7AD5">
      <w:pPr>
        <w:spacing w:line="500" w:lineRule="atLeast"/>
        <w:ind w:leftChars="295" w:left="708" w:firstLine="72"/>
        <w:jc w:val="both"/>
        <w:rPr>
          <w:rFonts w:ascii="標楷體" w:eastAsia="標楷體" w:hAnsi="標楷體"/>
          <w:sz w:val="22"/>
        </w:rPr>
      </w:pPr>
      <w:r w:rsidRPr="00EC7AD5">
        <w:rPr>
          <w:rFonts w:ascii="標楷體" w:eastAsia="標楷體" w:hAnsi="標楷體" w:hint="eastAsia"/>
          <w:sz w:val="28"/>
          <w:szCs w:val="28"/>
        </w:rPr>
        <w:t>代理之</w:t>
      </w:r>
      <w:r w:rsidR="00796BFB" w:rsidRPr="00FC0B4E">
        <w:rPr>
          <w:rFonts w:ascii="標楷體" w:eastAsia="標楷體" w:hAnsi="標楷體" w:hint="eastAsia"/>
          <w:sz w:val="28"/>
          <w:szCs w:val="28"/>
        </w:rPr>
        <w:t>。</w:t>
      </w:r>
    </w:p>
    <w:p w:rsidR="00E25184" w:rsidRPr="0012284B" w:rsidRDefault="00796BFB" w:rsidP="00EC7AD5">
      <w:pPr>
        <w:pStyle w:val="a3"/>
        <w:numPr>
          <w:ilvl w:val="0"/>
          <w:numId w:val="15"/>
        </w:numPr>
        <w:spacing w:line="500" w:lineRule="atLeast"/>
        <w:ind w:leftChars="0" w:left="783" w:hanging="641"/>
        <w:jc w:val="both"/>
        <w:rPr>
          <w:rFonts w:ascii="標楷體" w:eastAsia="標楷體" w:hAnsi="標楷體"/>
          <w:sz w:val="28"/>
          <w:szCs w:val="28"/>
        </w:rPr>
      </w:pPr>
      <w:r w:rsidRPr="0012284B">
        <w:rPr>
          <w:rFonts w:ascii="標楷體" w:eastAsia="標楷體" w:hAnsi="標楷體" w:hint="eastAsia"/>
          <w:sz w:val="28"/>
          <w:szCs w:val="28"/>
        </w:rPr>
        <w:t>本會委員應親自出席會議。但代表機關出任之委員不能出席時，得指派代表列席，並參與會議發言，惟不得參與表決。</w:t>
      </w:r>
    </w:p>
    <w:p w:rsidR="0012284B" w:rsidRPr="0012284B" w:rsidRDefault="0012284B" w:rsidP="0012284B">
      <w:pPr>
        <w:numPr>
          <w:ilvl w:val="0"/>
          <w:numId w:val="25"/>
        </w:numPr>
        <w:spacing w:line="500" w:lineRule="atLeast"/>
        <w:jc w:val="both"/>
        <w:rPr>
          <w:rFonts w:ascii="標楷體" w:eastAsia="標楷體" w:hAnsi="標楷體"/>
          <w:sz w:val="28"/>
          <w:szCs w:val="28"/>
        </w:rPr>
      </w:pPr>
      <w:r w:rsidRPr="0012284B">
        <w:rPr>
          <w:rFonts w:ascii="標楷體" w:eastAsia="標楷體" w:hAnsi="標楷體" w:hint="eastAsia"/>
          <w:sz w:val="28"/>
          <w:szCs w:val="28"/>
        </w:rPr>
        <w:t>審議會議應有全體委員過半數之出席，始得開會；並有出席委員</w:t>
      </w:r>
      <w:r w:rsidRPr="0012284B">
        <w:rPr>
          <w:rFonts w:ascii="標楷體" w:eastAsia="標楷體" w:hAnsi="標楷體" w:hint="eastAsia"/>
          <w:sz w:val="28"/>
          <w:szCs w:val="28"/>
        </w:rPr>
        <w:lastRenderedPageBreak/>
        <w:t>過半數之同意，始得決議。</w:t>
      </w:r>
    </w:p>
    <w:p w:rsidR="00653DFC" w:rsidRDefault="0012284B" w:rsidP="00653DFC">
      <w:pPr>
        <w:pStyle w:val="a3"/>
        <w:spacing w:line="500" w:lineRule="atLeast"/>
        <w:ind w:leftChars="0" w:left="482" w:firstLineChars="62" w:firstLine="174"/>
        <w:jc w:val="both"/>
        <w:rPr>
          <w:rFonts w:ascii="標楷體" w:eastAsia="標楷體" w:hAnsi="標楷體"/>
          <w:sz w:val="28"/>
          <w:szCs w:val="28"/>
        </w:rPr>
      </w:pPr>
      <w:r w:rsidRPr="0012284B">
        <w:rPr>
          <w:rFonts w:ascii="標楷體" w:eastAsia="標楷體" w:hAnsi="標楷體" w:hint="eastAsia"/>
          <w:sz w:val="28"/>
          <w:szCs w:val="28"/>
        </w:rPr>
        <w:t>前項出席委員中，專家學者及民間團體代表委員人數不得低於</w:t>
      </w:r>
    </w:p>
    <w:p w:rsidR="00796BFB" w:rsidRDefault="0012284B" w:rsidP="00653DFC">
      <w:pPr>
        <w:pStyle w:val="a3"/>
        <w:spacing w:line="500" w:lineRule="atLeast"/>
        <w:ind w:leftChars="0" w:left="482" w:firstLineChars="62" w:firstLine="174"/>
        <w:jc w:val="both"/>
        <w:rPr>
          <w:rFonts w:ascii="標楷體" w:eastAsia="標楷體" w:hAnsi="標楷體"/>
          <w:sz w:val="28"/>
          <w:szCs w:val="28"/>
        </w:rPr>
      </w:pPr>
      <w:r w:rsidRPr="0012284B">
        <w:rPr>
          <w:rFonts w:ascii="標楷體" w:eastAsia="標楷體" w:hAnsi="標楷體" w:hint="eastAsia"/>
          <w:sz w:val="28"/>
          <w:szCs w:val="28"/>
        </w:rPr>
        <w:t>二分之一</w:t>
      </w:r>
      <w:r w:rsidR="00796BFB" w:rsidRPr="0012284B">
        <w:rPr>
          <w:rFonts w:ascii="標楷體" w:eastAsia="標楷體" w:hAnsi="標楷體" w:hint="eastAsia"/>
          <w:sz w:val="28"/>
          <w:szCs w:val="28"/>
        </w:rPr>
        <w:t>。</w:t>
      </w:r>
    </w:p>
    <w:p w:rsidR="005A0252" w:rsidRDefault="005A0252" w:rsidP="00653DFC">
      <w:pPr>
        <w:pStyle w:val="a3"/>
        <w:spacing w:line="500" w:lineRule="atLeast"/>
        <w:ind w:leftChars="0" w:left="482" w:firstLineChars="62" w:firstLine="174"/>
        <w:jc w:val="both"/>
        <w:rPr>
          <w:rFonts w:ascii="標楷體" w:eastAsia="標楷體" w:hAnsi="標楷體"/>
          <w:color w:val="000000" w:themeColor="text1"/>
          <w:sz w:val="28"/>
          <w:szCs w:val="28"/>
        </w:rPr>
      </w:pPr>
      <w:r w:rsidRPr="005A0252">
        <w:rPr>
          <w:rFonts w:ascii="標楷體" w:eastAsia="標楷體" w:hAnsi="標楷體" w:hint="eastAsia"/>
          <w:color w:val="000000" w:themeColor="text1"/>
          <w:sz w:val="28"/>
          <w:szCs w:val="28"/>
        </w:rPr>
        <w:t>本會會議應作成會議紀錄，載明委員總人數、出席人數、同意人</w:t>
      </w:r>
    </w:p>
    <w:p w:rsidR="005A0252" w:rsidRPr="005A0252" w:rsidRDefault="005A0252" w:rsidP="00653DFC">
      <w:pPr>
        <w:pStyle w:val="a3"/>
        <w:spacing w:line="500" w:lineRule="atLeast"/>
        <w:ind w:leftChars="0" w:left="482" w:firstLineChars="62" w:firstLine="174"/>
        <w:jc w:val="both"/>
        <w:rPr>
          <w:rFonts w:ascii="標楷體" w:eastAsia="標楷體" w:hAnsi="標楷體" w:hint="eastAsia"/>
          <w:color w:val="000000" w:themeColor="text1"/>
          <w:sz w:val="28"/>
          <w:szCs w:val="28"/>
        </w:rPr>
      </w:pPr>
      <w:bookmarkStart w:id="0" w:name="_GoBack"/>
      <w:bookmarkEnd w:id="0"/>
      <w:r w:rsidRPr="005A0252">
        <w:rPr>
          <w:rFonts w:ascii="標楷體" w:eastAsia="標楷體" w:hAnsi="標楷體" w:hint="eastAsia"/>
          <w:color w:val="000000" w:themeColor="text1"/>
          <w:sz w:val="28"/>
          <w:szCs w:val="28"/>
        </w:rPr>
        <w:t>數、迴避人數及相關內容。</w:t>
      </w:r>
    </w:p>
    <w:p w:rsidR="0012284B" w:rsidRPr="0012284B" w:rsidRDefault="0012284B" w:rsidP="0012284B">
      <w:pPr>
        <w:pStyle w:val="a3"/>
        <w:numPr>
          <w:ilvl w:val="0"/>
          <w:numId w:val="20"/>
        </w:numPr>
        <w:spacing w:line="500" w:lineRule="atLeast"/>
        <w:ind w:leftChars="0" w:left="638" w:hanging="638"/>
        <w:jc w:val="both"/>
        <w:rPr>
          <w:rFonts w:ascii="標楷體" w:eastAsia="標楷體" w:hAnsi="標楷體"/>
          <w:sz w:val="28"/>
          <w:szCs w:val="28"/>
        </w:rPr>
      </w:pPr>
      <w:r w:rsidRPr="0012284B">
        <w:rPr>
          <w:rFonts w:ascii="標楷體" w:eastAsia="標楷體" w:hAnsi="標楷體" w:hint="eastAsia"/>
          <w:sz w:val="28"/>
          <w:szCs w:val="28"/>
        </w:rPr>
        <w:t>本會舉行會議時，應邀請自然地景及自然紀念物所有人、使用人、管理人或其他利害關係人陳述意見，並得邀請有關機關及人員列席；會議與會相關人員，對會議之內容，於自然地景及自然紀念物指定公告前應予保密。</w:t>
      </w:r>
    </w:p>
    <w:p w:rsidR="0012284B" w:rsidRPr="0012284B" w:rsidRDefault="0012284B" w:rsidP="0012284B">
      <w:pPr>
        <w:pStyle w:val="a3"/>
        <w:numPr>
          <w:ilvl w:val="0"/>
          <w:numId w:val="20"/>
        </w:numPr>
        <w:spacing w:line="500" w:lineRule="atLeast"/>
        <w:ind w:leftChars="0" w:left="638" w:hanging="638"/>
        <w:jc w:val="both"/>
        <w:rPr>
          <w:rFonts w:ascii="標楷體" w:eastAsia="標楷體" w:hAnsi="標楷體"/>
          <w:sz w:val="28"/>
          <w:szCs w:val="28"/>
        </w:rPr>
      </w:pPr>
      <w:r w:rsidRPr="0012284B">
        <w:rPr>
          <w:rFonts w:ascii="標楷體" w:eastAsia="標楷體" w:hAnsi="標楷體" w:hint="eastAsia"/>
          <w:sz w:val="28"/>
          <w:szCs w:val="28"/>
        </w:rPr>
        <w:t>本會委員對具有利害關係之議案，應依行政程序法自行迴避。</w:t>
      </w:r>
    </w:p>
    <w:p w:rsidR="0012284B" w:rsidRPr="0012284B" w:rsidRDefault="0012284B" w:rsidP="0012284B">
      <w:pPr>
        <w:pStyle w:val="a3"/>
        <w:spacing w:line="500" w:lineRule="atLeast"/>
        <w:ind w:leftChars="0" w:left="638"/>
        <w:jc w:val="both"/>
        <w:rPr>
          <w:rFonts w:ascii="標楷體" w:eastAsia="標楷體" w:hAnsi="標楷體"/>
          <w:sz w:val="28"/>
          <w:szCs w:val="28"/>
        </w:rPr>
      </w:pPr>
      <w:r w:rsidRPr="0012284B">
        <w:rPr>
          <w:rFonts w:ascii="標楷體" w:eastAsia="標楷體" w:hAnsi="標楷體" w:hint="eastAsia"/>
          <w:sz w:val="28"/>
          <w:szCs w:val="28"/>
        </w:rPr>
        <w:t>相關機關與第二點審議事項有利害關係時，其代表委員應迴避討論及表決。</w:t>
      </w:r>
    </w:p>
    <w:p w:rsidR="0012284B" w:rsidRPr="0012284B" w:rsidRDefault="0012284B" w:rsidP="0012284B">
      <w:pPr>
        <w:pStyle w:val="a3"/>
        <w:spacing w:line="500" w:lineRule="atLeast"/>
        <w:ind w:leftChars="0" w:left="638"/>
        <w:jc w:val="both"/>
        <w:rPr>
          <w:rFonts w:ascii="標楷體" w:eastAsia="標楷體" w:hAnsi="標楷體"/>
          <w:sz w:val="28"/>
          <w:szCs w:val="28"/>
        </w:rPr>
      </w:pPr>
      <w:r w:rsidRPr="0012284B">
        <w:rPr>
          <w:rFonts w:ascii="標楷體" w:eastAsia="標楷體" w:hAnsi="標楷體" w:hint="eastAsia"/>
          <w:sz w:val="28"/>
          <w:szCs w:val="28"/>
        </w:rPr>
        <w:t>第八點委員出席人數之計算，應將迴避委員人數予以扣除，作為委員總數之基準。</w:t>
      </w:r>
    </w:p>
    <w:p w:rsidR="0012284B" w:rsidRPr="0012284B" w:rsidRDefault="0012284B" w:rsidP="0012284B">
      <w:pPr>
        <w:pStyle w:val="a3"/>
        <w:numPr>
          <w:ilvl w:val="0"/>
          <w:numId w:val="20"/>
        </w:numPr>
        <w:spacing w:line="500" w:lineRule="atLeast"/>
        <w:ind w:leftChars="0" w:left="993" w:hanging="921"/>
        <w:jc w:val="both"/>
        <w:rPr>
          <w:rFonts w:ascii="標楷體" w:eastAsia="標楷體" w:hAnsi="標楷體"/>
          <w:sz w:val="28"/>
          <w:szCs w:val="28"/>
        </w:rPr>
      </w:pPr>
      <w:r w:rsidRPr="0012284B">
        <w:rPr>
          <w:rFonts w:ascii="標楷體" w:eastAsia="標楷體" w:hAnsi="標楷體" w:hint="eastAsia"/>
          <w:sz w:val="28"/>
          <w:szCs w:val="28"/>
        </w:rPr>
        <w:t>主管機關為審議自然地景、自然紀念物之指定，於辦理現場勘查或訪查程序時，應邀請本會委員參與。</w:t>
      </w:r>
    </w:p>
    <w:p w:rsidR="0012284B" w:rsidRPr="0012284B" w:rsidRDefault="0012284B" w:rsidP="0012284B">
      <w:pPr>
        <w:pStyle w:val="a3"/>
        <w:spacing w:line="500" w:lineRule="atLeast"/>
        <w:ind w:leftChars="0" w:left="993"/>
        <w:jc w:val="both"/>
        <w:rPr>
          <w:rFonts w:ascii="標楷體" w:eastAsia="標楷體" w:hAnsi="標楷體"/>
          <w:sz w:val="28"/>
          <w:szCs w:val="28"/>
        </w:rPr>
      </w:pPr>
      <w:r w:rsidRPr="0012284B">
        <w:rPr>
          <w:rFonts w:ascii="標楷體" w:eastAsia="標楷體" w:hAnsi="標楷體" w:hint="eastAsia"/>
          <w:sz w:val="28"/>
          <w:szCs w:val="28"/>
        </w:rPr>
        <w:t>前項及第十二點第二項現場勘查或訪查時，應通知文化資產所有人、使用人、管理人或其他利害關係人；並應依案件需要，邀請有關機關、團體或專家學者提供諮詢意見。</w:t>
      </w:r>
    </w:p>
    <w:p w:rsidR="0012284B" w:rsidRPr="0012284B" w:rsidRDefault="0012284B" w:rsidP="0012284B">
      <w:pPr>
        <w:pStyle w:val="a3"/>
        <w:spacing w:line="500" w:lineRule="atLeast"/>
        <w:ind w:leftChars="0" w:left="993"/>
        <w:jc w:val="both"/>
        <w:rPr>
          <w:rFonts w:ascii="標楷體" w:eastAsia="標楷體" w:hAnsi="標楷體"/>
          <w:sz w:val="28"/>
          <w:szCs w:val="28"/>
        </w:rPr>
      </w:pPr>
      <w:r w:rsidRPr="0012284B">
        <w:rPr>
          <w:rFonts w:ascii="標楷體" w:eastAsia="標楷體" w:hAnsi="標楷體" w:hint="eastAsia"/>
          <w:sz w:val="28"/>
          <w:szCs w:val="28"/>
        </w:rPr>
        <w:lastRenderedPageBreak/>
        <w:t>個人及團體提報案，於審議、現場勘查或訪查時，應邀請個人及團體提報者出席說明價值。</w:t>
      </w:r>
    </w:p>
    <w:p w:rsidR="00653DFC" w:rsidRDefault="0012284B" w:rsidP="00653DFC">
      <w:pPr>
        <w:pStyle w:val="a3"/>
        <w:numPr>
          <w:ilvl w:val="0"/>
          <w:numId w:val="20"/>
        </w:numPr>
        <w:spacing w:line="500" w:lineRule="atLeast"/>
        <w:ind w:leftChars="0" w:left="913" w:hanging="913"/>
        <w:jc w:val="both"/>
        <w:rPr>
          <w:rFonts w:ascii="標楷體" w:eastAsia="標楷體" w:hAnsi="標楷體"/>
          <w:sz w:val="28"/>
          <w:szCs w:val="28"/>
        </w:rPr>
      </w:pPr>
      <w:r w:rsidRPr="0012284B">
        <w:rPr>
          <w:rFonts w:ascii="標楷體" w:eastAsia="標楷體" w:hAnsi="標楷體" w:hint="eastAsia"/>
          <w:sz w:val="28"/>
          <w:szCs w:val="28"/>
        </w:rPr>
        <w:t>本會得參酌自然地景與自然紀念物指定及廢止審查辦法第六條或第七條規定之評估報告進行審議。</w:t>
      </w:r>
    </w:p>
    <w:p w:rsidR="0012284B" w:rsidRPr="00653DFC" w:rsidRDefault="0012284B" w:rsidP="00653DFC">
      <w:pPr>
        <w:pStyle w:val="a3"/>
        <w:spacing w:line="500" w:lineRule="atLeast"/>
        <w:ind w:leftChars="0" w:left="913"/>
        <w:jc w:val="both"/>
        <w:rPr>
          <w:rFonts w:ascii="標楷體" w:eastAsia="標楷體" w:hAnsi="標楷體"/>
          <w:sz w:val="28"/>
          <w:szCs w:val="28"/>
        </w:rPr>
      </w:pPr>
      <w:r w:rsidRPr="00653DFC">
        <w:rPr>
          <w:rFonts w:ascii="標楷體" w:eastAsia="標楷體" w:hAnsi="標楷體" w:hint="eastAsia"/>
          <w:sz w:val="28"/>
          <w:szCs w:val="28"/>
        </w:rPr>
        <w:t>為審議有關案件之需要，得推派委員偕同業務有關人員組成專案小組現場勘查或訪查，並研擬意見提報審議會；審議會開會審議該個案時，參與現勘或訪查之委員應至少有一人出席。</w:t>
      </w:r>
    </w:p>
    <w:p w:rsidR="00CC143A" w:rsidRPr="0012284B" w:rsidRDefault="00CC143A" w:rsidP="0012284B">
      <w:pPr>
        <w:pStyle w:val="a3"/>
        <w:numPr>
          <w:ilvl w:val="0"/>
          <w:numId w:val="20"/>
        </w:numPr>
        <w:spacing w:line="500" w:lineRule="atLeast"/>
        <w:ind w:leftChars="0"/>
        <w:jc w:val="both"/>
        <w:rPr>
          <w:rFonts w:ascii="標楷體" w:eastAsia="標楷體" w:hAnsi="標楷體"/>
          <w:sz w:val="28"/>
          <w:szCs w:val="28"/>
        </w:rPr>
      </w:pPr>
      <w:r w:rsidRPr="0012284B">
        <w:rPr>
          <w:rFonts w:ascii="標楷體" w:eastAsia="標楷體" w:hAnsi="標楷體" w:hint="eastAsia"/>
          <w:sz w:val="28"/>
          <w:szCs w:val="28"/>
        </w:rPr>
        <w:t>本會所需之工作人員由本府人員兼任之。</w:t>
      </w:r>
    </w:p>
    <w:p w:rsidR="00CC143A" w:rsidRPr="0012284B" w:rsidRDefault="00CC143A" w:rsidP="0012284B">
      <w:pPr>
        <w:pStyle w:val="a3"/>
        <w:numPr>
          <w:ilvl w:val="0"/>
          <w:numId w:val="20"/>
        </w:numPr>
        <w:spacing w:line="500" w:lineRule="atLeast"/>
        <w:ind w:leftChars="0"/>
        <w:jc w:val="both"/>
        <w:rPr>
          <w:rFonts w:ascii="標楷體" w:eastAsia="標楷體" w:hAnsi="標楷體"/>
          <w:sz w:val="22"/>
        </w:rPr>
      </w:pPr>
      <w:r w:rsidRPr="0012284B">
        <w:rPr>
          <w:rFonts w:ascii="標楷體" w:eastAsia="標楷體" w:hAnsi="標楷體" w:hint="eastAsia"/>
          <w:sz w:val="28"/>
          <w:szCs w:val="28"/>
        </w:rPr>
        <w:t>本會委員及兼任人員均為無給職。</w:t>
      </w:r>
    </w:p>
    <w:p w:rsidR="00CC143A" w:rsidRPr="0012284B" w:rsidRDefault="00CC143A" w:rsidP="0012284B">
      <w:pPr>
        <w:pStyle w:val="a3"/>
        <w:numPr>
          <w:ilvl w:val="0"/>
          <w:numId w:val="20"/>
        </w:numPr>
        <w:spacing w:line="500" w:lineRule="atLeast"/>
        <w:ind w:leftChars="0" w:left="921" w:hanging="921"/>
        <w:jc w:val="both"/>
        <w:rPr>
          <w:rFonts w:ascii="標楷體" w:eastAsia="標楷體" w:hAnsi="標楷體"/>
          <w:sz w:val="22"/>
        </w:rPr>
      </w:pPr>
      <w:r w:rsidRPr="0012284B">
        <w:rPr>
          <w:rFonts w:ascii="標楷體" w:eastAsia="標楷體" w:hAnsi="標楷體" w:hint="eastAsia"/>
          <w:sz w:val="28"/>
          <w:szCs w:val="28"/>
        </w:rPr>
        <w:t>本會所需經費由本府農業局年度相關預算支應或申請中央主管機關補助。</w:t>
      </w:r>
    </w:p>
    <w:sectPr w:rsidR="00CC143A" w:rsidRPr="0012284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A7E" w:rsidRDefault="00352A7E" w:rsidP="009061D7">
      <w:r>
        <w:separator/>
      </w:r>
    </w:p>
  </w:endnote>
  <w:endnote w:type="continuationSeparator" w:id="0">
    <w:p w:rsidR="00352A7E" w:rsidRDefault="00352A7E" w:rsidP="0090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A7E" w:rsidRDefault="00352A7E" w:rsidP="009061D7">
      <w:r>
        <w:separator/>
      </w:r>
    </w:p>
  </w:footnote>
  <w:footnote w:type="continuationSeparator" w:id="0">
    <w:p w:rsidR="00352A7E" w:rsidRDefault="00352A7E" w:rsidP="00906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648"/>
    <w:multiLevelType w:val="hybridMultilevel"/>
    <w:tmpl w:val="E6F2507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4F0499"/>
    <w:multiLevelType w:val="hybridMultilevel"/>
    <w:tmpl w:val="360008C6"/>
    <w:lvl w:ilvl="0" w:tplc="F3AE254A">
      <w:start w:val="8"/>
      <w:numFmt w:val="taiwaneseCountingThousand"/>
      <w:lvlText w:val="%1、"/>
      <w:lvlJc w:val="left"/>
      <w:pPr>
        <w:ind w:left="567" w:hanging="567"/>
      </w:pPr>
      <w:rPr>
        <w:rFonts w:hint="default"/>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CC3C8D"/>
    <w:multiLevelType w:val="hybridMultilevel"/>
    <w:tmpl w:val="213203D0"/>
    <w:lvl w:ilvl="0" w:tplc="67F247B4">
      <w:start w:val="1"/>
      <w:numFmt w:val="taiwaneseCountingThousand"/>
      <w:suff w:val="nothing"/>
      <w:lvlText w:val="(%1)"/>
      <w:lvlJc w:val="left"/>
      <w:pPr>
        <w:ind w:left="0" w:firstLine="0"/>
      </w:pPr>
      <w:rPr>
        <w:rFonts w:hint="default"/>
      </w:rPr>
    </w:lvl>
    <w:lvl w:ilvl="1" w:tplc="C2FA662E">
      <w:start w:val="5"/>
      <w:numFmt w:val="taiwaneseCountingThousand"/>
      <w:suff w:val="nothing"/>
      <w:lvlText w:val="%2、"/>
      <w:lvlJc w:val="left"/>
      <w:pPr>
        <w:ind w:left="567" w:hanging="567"/>
      </w:pPr>
      <w:rPr>
        <w:rFonts w:hint="default"/>
        <w:u w:val="none"/>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 w15:restartNumberingAfterBreak="0">
    <w:nsid w:val="08554CC4"/>
    <w:multiLevelType w:val="hybridMultilevel"/>
    <w:tmpl w:val="E5FEE7BA"/>
    <w:lvl w:ilvl="0" w:tplc="4FD62E54">
      <w:start w:val="7"/>
      <w:numFmt w:val="taiwaneseCountingThousand"/>
      <w:suff w:val="space"/>
      <w:lvlText w:val="%1、"/>
      <w:lvlJc w:val="left"/>
      <w:pPr>
        <w:ind w:left="480" w:hanging="480"/>
      </w:pPr>
      <w:rPr>
        <w:rFonts w:hint="eastAsia"/>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A822D7"/>
    <w:multiLevelType w:val="hybridMultilevel"/>
    <w:tmpl w:val="D982E332"/>
    <w:lvl w:ilvl="0" w:tplc="794CF63E">
      <w:start w:val="6"/>
      <w:numFmt w:val="taiwaneseCountingThousand"/>
      <w:suff w:val="space"/>
      <w:lvlText w:val="%1、"/>
      <w:lvlJc w:val="left"/>
      <w:pPr>
        <w:ind w:left="480" w:hanging="480"/>
      </w:pPr>
      <w:rPr>
        <w:rFonts w:hint="eastAsia"/>
        <w:sz w:val="28"/>
      </w:rPr>
    </w:lvl>
    <w:lvl w:ilvl="1" w:tplc="47A03A0A">
      <w:start w:val="1"/>
      <w:numFmt w:val="taiwaneseCountingThousand"/>
      <w:suff w:val="space"/>
      <w:lvlText w:val="(%2)"/>
      <w:lvlJc w:val="left"/>
      <w:pPr>
        <w:ind w:left="1332" w:hanging="480"/>
      </w:pPr>
      <w:rPr>
        <w:rFonts w:hint="eastAsia"/>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9D6867"/>
    <w:multiLevelType w:val="hybridMultilevel"/>
    <w:tmpl w:val="8662EDB2"/>
    <w:lvl w:ilvl="0" w:tplc="73225514">
      <w:start w:val="1"/>
      <w:numFmt w:val="taiwaneseCountingThousand"/>
      <w:suff w:val="nothing"/>
      <w:lvlText w:val="%1、"/>
      <w:lvlJc w:val="left"/>
      <w:pPr>
        <w:ind w:left="480" w:hanging="480"/>
      </w:pPr>
      <w:rPr>
        <w:rFonts w:hint="eastAsia"/>
      </w:rPr>
    </w:lvl>
    <w:lvl w:ilvl="1" w:tplc="FC0CFF3E">
      <w:start w:val="1"/>
      <w:numFmt w:val="taiwaneseCountingThousand"/>
      <w:suff w:val="space"/>
      <w:lvlText w:val="(%2)"/>
      <w:lvlJc w:val="left"/>
      <w:pPr>
        <w:ind w:left="1109" w:hanging="541"/>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FE5B98"/>
    <w:multiLevelType w:val="hybridMultilevel"/>
    <w:tmpl w:val="30A0F330"/>
    <w:lvl w:ilvl="0" w:tplc="D28E44D6">
      <w:start w:val="1"/>
      <w:numFmt w:val="taiwaneseCountingThousand"/>
      <w:suff w:val="space"/>
      <w:lvlText w:val="%1、"/>
      <w:lvlJc w:val="left"/>
      <w:pPr>
        <w:ind w:left="511"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EE1480A"/>
    <w:multiLevelType w:val="hybridMultilevel"/>
    <w:tmpl w:val="DA325CB2"/>
    <w:lvl w:ilvl="0" w:tplc="37A2A616">
      <w:start w:val="6"/>
      <w:numFmt w:val="taiwaneseCountingThousand"/>
      <w:lvlText w:val="%1、"/>
      <w:lvlJc w:val="left"/>
      <w:pPr>
        <w:ind w:left="1047" w:hanging="480"/>
      </w:pPr>
      <w:rPr>
        <w:rFonts w:hint="eastAsia"/>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365E6FF9"/>
    <w:multiLevelType w:val="hybridMultilevel"/>
    <w:tmpl w:val="3E269CFA"/>
    <w:lvl w:ilvl="0" w:tplc="A2F87982">
      <w:start w:val="12"/>
      <w:numFmt w:val="taiwaneseCountingThousand"/>
      <w:suff w:val="space"/>
      <w:lvlText w:val="%1、"/>
      <w:lvlJc w:val="left"/>
      <w:pPr>
        <w:ind w:left="905" w:hanging="905"/>
      </w:pPr>
      <w:rPr>
        <w:rFonts w:hint="eastAsia"/>
        <w:sz w:val="28"/>
        <w:u w:val="none"/>
        <w:lang w:val="en-US"/>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9" w15:restartNumberingAfterBreak="0">
    <w:nsid w:val="37765C3D"/>
    <w:multiLevelType w:val="hybridMultilevel"/>
    <w:tmpl w:val="E30A8812"/>
    <w:lvl w:ilvl="0" w:tplc="DA908280">
      <w:start w:val="6"/>
      <w:numFmt w:val="taiwaneseCountingThousand"/>
      <w:suff w:val="space"/>
      <w:lvlText w:val="%1、"/>
      <w:lvlJc w:val="left"/>
      <w:pPr>
        <w:ind w:left="480" w:hanging="480"/>
      </w:pPr>
      <w:rPr>
        <w:rFonts w:hint="eastAsia"/>
        <w:sz w:val="28"/>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0" w15:restartNumberingAfterBreak="0">
    <w:nsid w:val="3D994563"/>
    <w:multiLevelType w:val="hybridMultilevel"/>
    <w:tmpl w:val="9E6AF3BC"/>
    <w:lvl w:ilvl="0" w:tplc="B4C2E464">
      <w:start w:val="1"/>
      <w:numFmt w:val="taiwaneseCountingThousand"/>
      <w:suff w:val="nothing"/>
      <w:lvlText w:val="%1、"/>
      <w:lvlJc w:val="left"/>
      <w:pPr>
        <w:ind w:left="751" w:hanging="72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11" w15:restartNumberingAfterBreak="0">
    <w:nsid w:val="42050EE9"/>
    <w:multiLevelType w:val="hybridMultilevel"/>
    <w:tmpl w:val="9FD4278A"/>
    <w:lvl w:ilvl="0" w:tplc="4CD27F80">
      <w:start w:val="3"/>
      <w:numFmt w:val="taiwaneseCountingThousand"/>
      <w:suff w:val="space"/>
      <w:lvlText w:val="%1、"/>
      <w:lvlJc w:val="left"/>
      <w:pPr>
        <w:ind w:left="655" w:hanging="480"/>
      </w:pPr>
      <w:rPr>
        <w:rFonts w:hint="eastAsia"/>
      </w:rPr>
    </w:lvl>
    <w:lvl w:ilvl="1" w:tplc="D1E83820">
      <w:start w:val="1"/>
      <w:numFmt w:val="taiwaneseCountingThousand"/>
      <w:suff w:val="space"/>
      <w:lvlText w:val="(%2)"/>
      <w:lvlJc w:val="left"/>
      <w:pPr>
        <w:ind w:left="1048"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845298"/>
    <w:multiLevelType w:val="hybridMultilevel"/>
    <w:tmpl w:val="C8B6935E"/>
    <w:lvl w:ilvl="0" w:tplc="B6B25AEC">
      <w:start w:val="4"/>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0B3742"/>
    <w:multiLevelType w:val="hybridMultilevel"/>
    <w:tmpl w:val="02CCC566"/>
    <w:lvl w:ilvl="0" w:tplc="0AC486A6">
      <w:start w:val="4"/>
      <w:numFmt w:val="taiwaneseCountingThousand"/>
      <w:suff w:val="space"/>
      <w:lvlText w:val="%1、"/>
      <w:lvlJc w:val="left"/>
      <w:pPr>
        <w:ind w:left="709" w:hanging="567"/>
      </w:pPr>
      <w:rPr>
        <w:rFonts w:hint="default"/>
        <w:sz w:val="28"/>
        <w:u w:val="none"/>
      </w:rPr>
    </w:lvl>
    <w:lvl w:ilvl="1" w:tplc="04090015">
      <w:start w:val="1"/>
      <w:numFmt w:val="taiwaneseCountingThousand"/>
      <w:lvlText w:val="%2、"/>
      <w:lvlJc w:val="left"/>
      <w:pPr>
        <w:ind w:left="501" w:hanging="480"/>
      </w:pPr>
      <w:rPr>
        <w:sz w:val="28"/>
      </w:rPr>
    </w:lvl>
    <w:lvl w:ilvl="2" w:tplc="0409001B">
      <w:start w:val="1"/>
      <w:numFmt w:val="lowerRoman"/>
      <w:lvlText w:val="%3."/>
      <w:lvlJc w:val="right"/>
      <w:pPr>
        <w:ind w:left="981" w:hanging="480"/>
      </w:pPr>
    </w:lvl>
    <w:lvl w:ilvl="3" w:tplc="0409000F" w:tentative="1">
      <w:start w:val="1"/>
      <w:numFmt w:val="decimal"/>
      <w:lvlText w:val="%4."/>
      <w:lvlJc w:val="left"/>
      <w:pPr>
        <w:ind w:left="1461" w:hanging="480"/>
      </w:pPr>
    </w:lvl>
    <w:lvl w:ilvl="4" w:tplc="04090019" w:tentative="1">
      <w:start w:val="1"/>
      <w:numFmt w:val="ideographTraditional"/>
      <w:lvlText w:val="%5、"/>
      <w:lvlJc w:val="left"/>
      <w:pPr>
        <w:ind w:left="1941" w:hanging="480"/>
      </w:pPr>
    </w:lvl>
    <w:lvl w:ilvl="5" w:tplc="0409001B" w:tentative="1">
      <w:start w:val="1"/>
      <w:numFmt w:val="lowerRoman"/>
      <w:lvlText w:val="%6."/>
      <w:lvlJc w:val="right"/>
      <w:pPr>
        <w:ind w:left="2421" w:hanging="480"/>
      </w:pPr>
    </w:lvl>
    <w:lvl w:ilvl="6" w:tplc="0409000F" w:tentative="1">
      <w:start w:val="1"/>
      <w:numFmt w:val="decimal"/>
      <w:lvlText w:val="%7."/>
      <w:lvlJc w:val="left"/>
      <w:pPr>
        <w:ind w:left="2901" w:hanging="480"/>
      </w:pPr>
    </w:lvl>
    <w:lvl w:ilvl="7" w:tplc="04090019" w:tentative="1">
      <w:start w:val="1"/>
      <w:numFmt w:val="ideographTraditional"/>
      <w:lvlText w:val="%8、"/>
      <w:lvlJc w:val="left"/>
      <w:pPr>
        <w:ind w:left="3381" w:hanging="480"/>
      </w:pPr>
    </w:lvl>
    <w:lvl w:ilvl="8" w:tplc="0409001B" w:tentative="1">
      <w:start w:val="1"/>
      <w:numFmt w:val="lowerRoman"/>
      <w:lvlText w:val="%9."/>
      <w:lvlJc w:val="right"/>
      <w:pPr>
        <w:ind w:left="3861" w:hanging="480"/>
      </w:pPr>
    </w:lvl>
  </w:abstractNum>
  <w:abstractNum w:abstractNumId="14" w15:restartNumberingAfterBreak="0">
    <w:nsid w:val="4E3A5B8A"/>
    <w:multiLevelType w:val="hybridMultilevel"/>
    <w:tmpl w:val="331070FA"/>
    <w:lvl w:ilvl="0" w:tplc="3A506C7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84314D"/>
    <w:multiLevelType w:val="hybridMultilevel"/>
    <w:tmpl w:val="8B9A12B4"/>
    <w:lvl w:ilvl="0" w:tplc="A4C6AFC4">
      <w:start w:val="9"/>
      <w:numFmt w:val="taiwaneseCountingThousand"/>
      <w:suff w:val="space"/>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F44E86"/>
    <w:multiLevelType w:val="hybridMultilevel"/>
    <w:tmpl w:val="90BE2E0C"/>
    <w:lvl w:ilvl="0" w:tplc="E820B9EE">
      <w:start w:val="1"/>
      <w:numFmt w:val="taiwaneseCountingThousand"/>
      <w:suff w:val="space"/>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AF7B20"/>
    <w:multiLevelType w:val="hybridMultilevel"/>
    <w:tmpl w:val="964A3244"/>
    <w:lvl w:ilvl="0" w:tplc="17162422">
      <w:start w:val="6"/>
      <w:numFmt w:val="taiwaneseCountingThousand"/>
      <w:suff w:val="space"/>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CE02EA"/>
    <w:multiLevelType w:val="hybridMultilevel"/>
    <w:tmpl w:val="DF1A946E"/>
    <w:lvl w:ilvl="0" w:tplc="5CE63FFC">
      <w:start w:val="7"/>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DCC22A3"/>
    <w:multiLevelType w:val="hybridMultilevel"/>
    <w:tmpl w:val="A8C8A04C"/>
    <w:lvl w:ilvl="0" w:tplc="FD207A9C">
      <w:start w:val="10"/>
      <w:numFmt w:val="taiwaneseCountingThousand"/>
      <w:suff w:val="nothing"/>
      <w:lvlText w:val="%1、"/>
      <w:lvlJc w:val="left"/>
      <w:pPr>
        <w:ind w:left="567" w:hanging="567"/>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F312E3F"/>
    <w:multiLevelType w:val="hybridMultilevel"/>
    <w:tmpl w:val="C14629B2"/>
    <w:lvl w:ilvl="0" w:tplc="37A2A616">
      <w:start w:val="6"/>
      <w:numFmt w:val="taiwaneseCountingThousand"/>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932111"/>
    <w:multiLevelType w:val="hybridMultilevel"/>
    <w:tmpl w:val="5032F010"/>
    <w:lvl w:ilvl="0" w:tplc="60AC04C6">
      <w:start w:val="1"/>
      <w:numFmt w:val="taiwaneseCountingThousand"/>
      <w:suff w:val="nothing"/>
      <w:lvlText w:val="(%1)"/>
      <w:lvlJc w:val="left"/>
      <w:pPr>
        <w:ind w:left="1135" w:hanging="567"/>
      </w:pPr>
      <w:rPr>
        <w:rFonts w:hint="default"/>
      </w:rPr>
    </w:lvl>
    <w:lvl w:ilvl="1" w:tplc="532C130A">
      <w:start w:val="8"/>
      <w:numFmt w:val="taiwaneseCountingThousand"/>
      <w:suff w:val="nothing"/>
      <w:lvlText w:val="%2、"/>
      <w:lvlJc w:val="left"/>
      <w:pPr>
        <w:ind w:left="681" w:hanging="567"/>
      </w:pPr>
      <w:rPr>
        <w:rFonts w:hint="default"/>
        <w:u w:val="single"/>
      </w:rPr>
    </w:lvl>
    <w:lvl w:ilvl="2" w:tplc="0409001B" w:tentative="1">
      <w:start w:val="1"/>
      <w:numFmt w:val="lowerRoman"/>
      <w:lvlText w:val="%3."/>
      <w:lvlJc w:val="right"/>
      <w:pPr>
        <w:ind w:left="2012" w:hanging="480"/>
      </w:pPr>
    </w:lvl>
    <w:lvl w:ilvl="3" w:tplc="0409000F" w:tentative="1">
      <w:start w:val="1"/>
      <w:numFmt w:val="decimal"/>
      <w:lvlText w:val="%4."/>
      <w:lvlJc w:val="left"/>
      <w:pPr>
        <w:ind w:left="2492" w:hanging="480"/>
      </w:pPr>
    </w:lvl>
    <w:lvl w:ilvl="4" w:tplc="04090019" w:tentative="1">
      <w:start w:val="1"/>
      <w:numFmt w:val="ideographTraditional"/>
      <w:lvlText w:val="%5、"/>
      <w:lvlJc w:val="left"/>
      <w:pPr>
        <w:ind w:left="2972" w:hanging="480"/>
      </w:pPr>
    </w:lvl>
    <w:lvl w:ilvl="5" w:tplc="0409001B" w:tentative="1">
      <w:start w:val="1"/>
      <w:numFmt w:val="lowerRoman"/>
      <w:lvlText w:val="%6."/>
      <w:lvlJc w:val="right"/>
      <w:pPr>
        <w:ind w:left="3452" w:hanging="480"/>
      </w:pPr>
    </w:lvl>
    <w:lvl w:ilvl="6" w:tplc="0409000F" w:tentative="1">
      <w:start w:val="1"/>
      <w:numFmt w:val="decimal"/>
      <w:lvlText w:val="%7."/>
      <w:lvlJc w:val="left"/>
      <w:pPr>
        <w:ind w:left="3932" w:hanging="480"/>
      </w:pPr>
    </w:lvl>
    <w:lvl w:ilvl="7" w:tplc="04090019" w:tentative="1">
      <w:start w:val="1"/>
      <w:numFmt w:val="ideographTraditional"/>
      <w:lvlText w:val="%8、"/>
      <w:lvlJc w:val="left"/>
      <w:pPr>
        <w:ind w:left="4412" w:hanging="480"/>
      </w:pPr>
    </w:lvl>
    <w:lvl w:ilvl="8" w:tplc="0409001B" w:tentative="1">
      <w:start w:val="1"/>
      <w:numFmt w:val="lowerRoman"/>
      <w:lvlText w:val="%9."/>
      <w:lvlJc w:val="right"/>
      <w:pPr>
        <w:ind w:left="4892" w:hanging="480"/>
      </w:pPr>
    </w:lvl>
  </w:abstractNum>
  <w:abstractNum w:abstractNumId="22" w15:restartNumberingAfterBreak="0">
    <w:nsid w:val="6BD236EC"/>
    <w:multiLevelType w:val="hybridMultilevel"/>
    <w:tmpl w:val="B8B2353E"/>
    <w:lvl w:ilvl="0" w:tplc="FE9AE6C6">
      <w:start w:val="1"/>
      <w:numFmt w:val="taiwaneseCountingThousand"/>
      <w:suff w:val="nothing"/>
      <w:lvlText w:val="(%1)"/>
      <w:lvlJc w:val="left"/>
      <w:pPr>
        <w:ind w:left="1191" w:hanging="567"/>
      </w:pPr>
      <w:rPr>
        <w:rFonts w:hint="default"/>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23" w15:restartNumberingAfterBreak="0">
    <w:nsid w:val="78647399"/>
    <w:multiLevelType w:val="hybridMultilevel"/>
    <w:tmpl w:val="5CC2D976"/>
    <w:lvl w:ilvl="0" w:tplc="0B004AE4">
      <w:start w:val="8"/>
      <w:numFmt w:val="taiwaneseCountingThousand"/>
      <w:suff w:val="space"/>
      <w:lvlText w:val="%1、"/>
      <w:lvlJc w:val="left"/>
      <w:pPr>
        <w:ind w:left="655" w:hanging="6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C856107"/>
    <w:multiLevelType w:val="hybridMultilevel"/>
    <w:tmpl w:val="36629E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6"/>
  </w:num>
  <w:num w:numId="3">
    <w:abstractNumId w:val="5"/>
  </w:num>
  <w:num w:numId="4">
    <w:abstractNumId w:val="22"/>
  </w:num>
  <w:num w:numId="5">
    <w:abstractNumId w:val="2"/>
  </w:num>
  <w:num w:numId="6">
    <w:abstractNumId w:val="21"/>
  </w:num>
  <w:num w:numId="7">
    <w:abstractNumId w:val="3"/>
  </w:num>
  <w:num w:numId="8">
    <w:abstractNumId w:val="10"/>
  </w:num>
  <w:num w:numId="9">
    <w:abstractNumId w:val="19"/>
  </w:num>
  <w:num w:numId="10">
    <w:abstractNumId w:val="18"/>
  </w:num>
  <w:num w:numId="11">
    <w:abstractNumId w:val="14"/>
  </w:num>
  <w:num w:numId="12">
    <w:abstractNumId w:val="8"/>
  </w:num>
  <w:num w:numId="13">
    <w:abstractNumId w:val="6"/>
  </w:num>
  <w:num w:numId="14">
    <w:abstractNumId w:val="0"/>
  </w:num>
  <w:num w:numId="15">
    <w:abstractNumId w:val="13"/>
  </w:num>
  <w:num w:numId="16">
    <w:abstractNumId w:val="12"/>
  </w:num>
  <w:num w:numId="17">
    <w:abstractNumId w:val="4"/>
  </w:num>
  <w:num w:numId="18">
    <w:abstractNumId w:val="9"/>
  </w:num>
  <w:num w:numId="19">
    <w:abstractNumId w:val="1"/>
  </w:num>
  <w:num w:numId="20">
    <w:abstractNumId w:val="15"/>
  </w:num>
  <w:num w:numId="21">
    <w:abstractNumId w:val="17"/>
  </w:num>
  <w:num w:numId="22">
    <w:abstractNumId w:val="7"/>
  </w:num>
  <w:num w:numId="23">
    <w:abstractNumId w:val="20"/>
  </w:num>
  <w:num w:numId="24">
    <w:abstractNumId w:val="1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FB"/>
    <w:rsid w:val="00073A78"/>
    <w:rsid w:val="0012284B"/>
    <w:rsid w:val="001E6F10"/>
    <w:rsid w:val="00345433"/>
    <w:rsid w:val="00352A7E"/>
    <w:rsid w:val="003E5EFF"/>
    <w:rsid w:val="0042300D"/>
    <w:rsid w:val="004D7DA1"/>
    <w:rsid w:val="004F643B"/>
    <w:rsid w:val="00555A19"/>
    <w:rsid w:val="005A0252"/>
    <w:rsid w:val="005A4FC6"/>
    <w:rsid w:val="00653DFC"/>
    <w:rsid w:val="00657605"/>
    <w:rsid w:val="00796BFB"/>
    <w:rsid w:val="007B6478"/>
    <w:rsid w:val="008729C7"/>
    <w:rsid w:val="008A2041"/>
    <w:rsid w:val="009061D7"/>
    <w:rsid w:val="009F2F94"/>
    <w:rsid w:val="00AB5D04"/>
    <w:rsid w:val="00CA5F3A"/>
    <w:rsid w:val="00CC143A"/>
    <w:rsid w:val="00CE5FCF"/>
    <w:rsid w:val="00D0571D"/>
    <w:rsid w:val="00D10A5C"/>
    <w:rsid w:val="00E25184"/>
    <w:rsid w:val="00EC676C"/>
    <w:rsid w:val="00EC7AD5"/>
    <w:rsid w:val="00FC0B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B789E"/>
  <w15:chartTrackingRefBased/>
  <w15:docId w15:val="{AAAC2979-597D-4F18-85D2-F52FF7C6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BFB"/>
    <w:pPr>
      <w:ind w:leftChars="200" w:left="480"/>
    </w:pPr>
  </w:style>
  <w:style w:type="table" w:styleId="a4">
    <w:name w:val="Table Grid"/>
    <w:basedOn w:val="a1"/>
    <w:rsid w:val="00796BF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061D7"/>
    <w:pPr>
      <w:tabs>
        <w:tab w:val="center" w:pos="4153"/>
        <w:tab w:val="right" w:pos="8306"/>
      </w:tabs>
      <w:snapToGrid w:val="0"/>
    </w:pPr>
    <w:rPr>
      <w:sz w:val="20"/>
      <w:szCs w:val="20"/>
    </w:rPr>
  </w:style>
  <w:style w:type="character" w:customStyle="1" w:styleId="a6">
    <w:name w:val="頁首 字元"/>
    <w:basedOn w:val="a0"/>
    <w:link w:val="a5"/>
    <w:uiPriority w:val="99"/>
    <w:rsid w:val="009061D7"/>
    <w:rPr>
      <w:sz w:val="20"/>
      <w:szCs w:val="20"/>
    </w:rPr>
  </w:style>
  <w:style w:type="paragraph" w:styleId="a7">
    <w:name w:val="footer"/>
    <w:basedOn w:val="a"/>
    <w:link w:val="a8"/>
    <w:uiPriority w:val="99"/>
    <w:unhideWhenUsed/>
    <w:rsid w:val="009061D7"/>
    <w:pPr>
      <w:tabs>
        <w:tab w:val="center" w:pos="4153"/>
        <w:tab w:val="right" w:pos="8306"/>
      </w:tabs>
      <w:snapToGrid w:val="0"/>
    </w:pPr>
    <w:rPr>
      <w:sz w:val="20"/>
      <w:szCs w:val="20"/>
    </w:rPr>
  </w:style>
  <w:style w:type="character" w:customStyle="1" w:styleId="a8">
    <w:name w:val="頁尾 字元"/>
    <w:basedOn w:val="a0"/>
    <w:link w:val="a7"/>
    <w:uiPriority w:val="99"/>
    <w:rsid w:val="009061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6B2A1-B87E-471F-86EC-C8224D325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傑安 莊</dc:creator>
  <cp:keywords/>
  <dc:description/>
  <cp:lastModifiedBy>傑安 莊</cp:lastModifiedBy>
  <cp:revision>11</cp:revision>
  <dcterms:created xsi:type="dcterms:W3CDTF">2018-07-27T01:12:00Z</dcterms:created>
  <dcterms:modified xsi:type="dcterms:W3CDTF">2020-03-03T03:02:00Z</dcterms:modified>
</cp:coreProperties>
</file>